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8C2DB5" w:rsidP="0096450D" w14:paraId="3F566E90" w14:textId="315F19AB">
      <w:pPr>
        <w:jc w:val="center"/>
        <w:rPr>
          <w:rFonts w:ascii="Arial" w:hAnsi="Arial" w:cs="Arial"/>
          <w:b/>
          <w:bCs/>
        </w:rPr>
      </w:pPr>
      <w:r>
        <w:rPr>
          <w:rFonts w:ascii="Arial" w:hAnsi="Arial" w:cs="Arial"/>
          <w:b/>
          <w:bCs/>
        </w:rPr>
        <w:t>Verification Plan for New Mycobacteriology Culture Methods/Assays</w:t>
      </w:r>
    </w:p>
    <w:p w:rsidR="0096450D" w:rsidP="0096450D" w14:paraId="00B52A42" w14:textId="77777777">
      <w:pPr>
        <w:rPr>
          <w:rFonts w:ascii="Arial" w:hAnsi="Arial" w:cs="Arial"/>
          <w:b/>
          <w:bCs/>
          <w:i/>
          <w:iCs/>
          <w:sz w:val="24"/>
          <w:szCs w:val="24"/>
        </w:rPr>
      </w:pPr>
    </w:p>
    <w:tbl>
      <w:tblPr>
        <w:tblpPr w:leftFromText="180" w:rightFromText="180" w:vertAnchor="text" w:horzAnchor="margin" w:tblpY="81"/>
        <w:tblW w:w="983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600"/>
      </w:tblPr>
      <w:tblGrid>
        <w:gridCol w:w="3199"/>
        <w:gridCol w:w="2129"/>
        <w:gridCol w:w="4504"/>
      </w:tblGrid>
      <w:tr w14:paraId="688B9E2D" w14:textId="77777777" w:rsidTr="00935962">
        <w:tblPrEx>
          <w:tblW w:w="983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600"/>
        </w:tblPrEx>
        <w:trPr>
          <w:trHeight w:val="432"/>
        </w:trPr>
        <w:tc>
          <w:tcPr>
            <w:tcW w:w="9832" w:type="dxa"/>
            <w:gridSpan w:val="3"/>
            <w:tcBorders>
              <w:top w:val="single" w:sz="4" w:space="0" w:color="A5A5A5"/>
              <w:left w:val="single" w:sz="4" w:space="0" w:color="A5A5A5"/>
              <w:bottom w:val="single" w:sz="4" w:space="0" w:color="DBDBDB"/>
              <w:right w:val="single" w:sz="4" w:space="0" w:color="A5A5A5"/>
            </w:tcBorders>
            <w:shd w:val="clear" w:color="auto" w:fill="E7E6E6"/>
            <w:vAlign w:val="center"/>
            <w:hideMark/>
          </w:tcPr>
          <w:p w:rsidR="00935962" w14:paraId="4A66C3BF" w14:textId="77777777">
            <w:pPr>
              <w:pStyle w:val="NoSpacing"/>
              <w:spacing w:line="276" w:lineRule="auto"/>
              <w:jc w:val="center"/>
              <w:rPr>
                <w:rFonts w:ascii="Arial" w:hAnsi="Arial" w:cs="Arial"/>
                <w:color w:val="4472C4"/>
              </w:rPr>
            </w:pPr>
            <w:r>
              <w:rPr>
                <w:rFonts w:ascii="Arial" w:hAnsi="Arial" w:cs="Arial"/>
                <w:color w:val="4472C4"/>
              </w:rPr>
              <w:t xml:space="preserve">(Please fill in the table with your laboratory’s information </w:t>
            </w:r>
          </w:p>
          <w:p w:rsidR="00935962" w14:paraId="63705C23" w14:textId="77777777">
            <w:pPr>
              <w:pStyle w:val="NoSpacing"/>
              <w:spacing w:line="276" w:lineRule="auto"/>
              <w:jc w:val="center"/>
              <w:rPr>
                <w:rFonts w:ascii="Arial" w:eastAsia="Times New Roman" w:hAnsi="Arial" w:cs="Arial"/>
                <w:color w:val="4472C4"/>
              </w:rPr>
            </w:pPr>
            <w:r>
              <w:rPr>
                <w:rFonts w:ascii="Arial" w:hAnsi="Arial" w:cs="Arial"/>
                <w:color w:val="4472C4"/>
              </w:rPr>
              <w:t>and details on the method being validated)</w:t>
            </w:r>
          </w:p>
        </w:tc>
      </w:tr>
      <w:tr w14:paraId="3172E7B9" w14:textId="77777777" w:rsidTr="00935962">
        <w:tblPrEx>
          <w:tblW w:w="9832" w:type="dxa"/>
          <w:tblLook w:val="0600"/>
        </w:tblPrEx>
        <w:trPr>
          <w:trHeight w:val="576"/>
        </w:trPr>
        <w:tc>
          <w:tcPr>
            <w:tcW w:w="3199" w:type="dxa"/>
            <w:tcBorders>
              <w:top w:val="single" w:sz="4" w:space="0" w:color="A5A5A5"/>
              <w:left w:val="single" w:sz="4" w:space="0" w:color="A5A5A5"/>
              <w:bottom w:val="nil"/>
              <w:right w:val="single" w:sz="4" w:space="0" w:color="A5A5A5"/>
            </w:tcBorders>
            <w:vAlign w:val="center"/>
            <w:hideMark/>
          </w:tcPr>
          <w:p w:rsidR="00935962" w14:paraId="4F402107"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Instrument/Method/Reagent to be validated:</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935962" w14:paraId="6A3FECF8" w14:textId="77777777">
            <w:pPr>
              <w:pStyle w:val="NoSpacing"/>
              <w:spacing w:line="276" w:lineRule="auto"/>
              <w:rPr>
                <w:rFonts w:ascii="Arial" w:eastAsia="Times New Roman" w:hAnsi="Arial" w:cs="Arial"/>
                <w:color w:val="000000"/>
              </w:rPr>
            </w:pPr>
          </w:p>
        </w:tc>
      </w:tr>
      <w:tr w14:paraId="30A50EF0" w14:textId="77777777" w:rsidTr="00935962">
        <w:tblPrEx>
          <w:tblW w:w="9832" w:type="dxa"/>
          <w:tblLook w:val="0600"/>
        </w:tblPrEx>
        <w:trPr>
          <w:trHeight w:val="576"/>
        </w:trPr>
        <w:tc>
          <w:tcPr>
            <w:tcW w:w="3199" w:type="dxa"/>
            <w:tcBorders>
              <w:top w:val="nil"/>
              <w:left w:val="single" w:sz="4" w:space="0" w:color="A5A5A5"/>
              <w:bottom w:val="single" w:sz="4" w:space="0" w:color="A5A5A5"/>
              <w:right w:val="single" w:sz="4" w:space="0" w:color="A5A5A5"/>
            </w:tcBorders>
            <w:vAlign w:val="center"/>
          </w:tcPr>
          <w:p w:rsidR="00935962" w14:paraId="203060D4" w14:textId="77777777">
            <w:pPr>
              <w:pStyle w:val="NoSpacing"/>
              <w:spacing w:line="276" w:lineRule="auto"/>
              <w:jc w:val="right"/>
              <w:rPr>
                <w:rFonts w:ascii="Arial" w:eastAsia="Times New Roman" w:hAnsi="Arial" w:cs="Arial"/>
                <w:b/>
                <w:color w:val="000000"/>
              </w:rPr>
            </w:pPr>
          </w:p>
        </w:tc>
        <w:tc>
          <w:tcPr>
            <w:tcW w:w="6633" w:type="dxa"/>
            <w:gridSpan w:val="2"/>
            <w:tcBorders>
              <w:top w:val="single" w:sz="4" w:space="0" w:color="A5A5A5"/>
              <w:left w:val="single" w:sz="4" w:space="0" w:color="A5A5A5"/>
              <w:bottom w:val="single" w:sz="4" w:space="0" w:color="A5A5A5"/>
              <w:right w:val="single" w:sz="4" w:space="0" w:color="A5A5A5"/>
            </w:tcBorders>
            <w:vAlign w:val="center"/>
            <w:hideMark/>
          </w:tcPr>
          <w:p w:rsidR="00935962" w14:paraId="7AFF5677"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1529785541"/>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rPr>
              <w:t xml:space="preserve"> Primary</w:t>
            </w:r>
            <w:r>
              <w:rPr>
                <w:rFonts w:ascii="Arial" w:eastAsia="Times New Roman" w:hAnsi="Arial" w:cs="Arial"/>
              </w:rPr>
              <w:tab/>
            </w:r>
            <w:r>
              <w:rPr>
                <w:rFonts w:ascii="Arial" w:eastAsia="Times New Roman" w:hAnsi="Arial" w:cs="Arial"/>
              </w:rPr>
              <w:tab/>
            </w:r>
            <w:sdt>
              <w:sdtPr>
                <w:rPr>
                  <w:rFonts w:ascii="Segoe UI Symbol" w:eastAsia="MS Gothic" w:hAnsi="Segoe UI Symbol" w:cs="Segoe UI Symbol"/>
                  <w:color w:val="000000"/>
                </w:rPr>
                <w:id w:val="-749269303"/>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w:t>
            </w:r>
            <w:r>
              <w:rPr>
                <w:rFonts w:ascii="Arial" w:eastAsia="Times New Roman" w:hAnsi="Arial" w:cs="Arial"/>
              </w:rPr>
              <w:t>Back-up</w:t>
            </w:r>
          </w:p>
        </w:tc>
      </w:tr>
      <w:tr w14:paraId="44E4AB62" w14:textId="77777777" w:rsidTr="00935962">
        <w:tblPrEx>
          <w:tblW w:w="9832" w:type="dxa"/>
          <w:tblLook w:val="0600"/>
        </w:tblPrEx>
        <w:trPr>
          <w:trHeight w:val="576"/>
        </w:trPr>
        <w:tc>
          <w:tcPr>
            <w:tcW w:w="3199" w:type="dxa"/>
            <w:tcBorders>
              <w:top w:val="single" w:sz="4" w:space="0" w:color="A5A5A5"/>
              <w:left w:val="single" w:sz="4" w:space="0" w:color="A5A5A5"/>
              <w:bottom w:val="nil"/>
              <w:right w:val="single" w:sz="4" w:space="0" w:color="A5A5A5"/>
            </w:tcBorders>
            <w:vAlign w:val="center"/>
            <w:hideMark/>
          </w:tcPr>
          <w:p w:rsidR="00935962" w14:paraId="473AE2D5" w14:textId="77777777">
            <w:pPr>
              <w:pStyle w:val="NoSpacing"/>
              <w:spacing w:line="276" w:lineRule="auto"/>
              <w:jc w:val="right"/>
              <w:rPr>
                <w:rFonts w:ascii="Arial" w:eastAsia="Times New Roman" w:hAnsi="Arial" w:cs="Arial"/>
                <w:color w:val="000000"/>
                <w:sz w:val="18"/>
              </w:rPr>
            </w:pPr>
            <w:r>
              <w:rPr>
                <w:rFonts w:ascii="Arial" w:eastAsia="Times New Roman" w:hAnsi="Arial" w:cs="Arial"/>
                <w:color w:val="000000"/>
                <w:sz w:val="18"/>
              </w:rPr>
              <w:t>(if applicable)</w:t>
            </w:r>
          </w:p>
          <w:p w:rsidR="00935962" w14:paraId="391CD075"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Serial Number(s):</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935962" w14:paraId="2175F27F" w14:textId="77777777">
            <w:pPr>
              <w:pStyle w:val="NoSpacing"/>
              <w:spacing w:line="276" w:lineRule="auto"/>
              <w:rPr>
                <w:rFonts w:ascii="Arial" w:eastAsia="Times New Roman" w:hAnsi="Arial" w:cs="Arial"/>
                <w:color w:val="000000"/>
              </w:rPr>
            </w:pPr>
          </w:p>
        </w:tc>
      </w:tr>
      <w:tr w14:paraId="2A623F48" w14:textId="77777777" w:rsidTr="00935962">
        <w:tblPrEx>
          <w:tblW w:w="9832" w:type="dxa"/>
          <w:tblLook w:val="0600"/>
        </w:tblPrEx>
        <w:trPr>
          <w:trHeight w:val="576"/>
        </w:trPr>
        <w:tc>
          <w:tcPr>
            <w:tcW w:w="3199" w:type="dxa"/>
            <w:tcBorders>
              <w:top w:val="nil"/>
              <w:left w:val="single" w:sz="4" w:space="0" w:color="A5A5A5"/>
              <w:bottom w:val="nil"/>
              <w:right w:val="single" w:sz="4" w:space="0" w:color="A5A5A5"/>
            </w:tcBorders>
            <w:vAlign w:val="center"/>
            <w:hideMark/>
          </w:tcPr>
          <w:p w:rsidR="00935962" w14:paraId="138F9FC0"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Analyte(s):</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935962" w14:paraId="07F057BA" w14:textId="77777777">
            <w:pPr>
              <w:pStyle w:val="NoSpacing"/>
              <w:spacing w:line="276" w:lineRule="auto"/>
              <w:rPr>
                <w:rFonts w:ascii="Arial" w:eastAsia="Times New Roman" w:hAnsi="Arial" w:cs="Arial"/>
                <w:color w:val="000000"/>
              </w:rPr>
            </w:pPr>
          </w:p>
        </w:tc>
      </w:tr>
      <w:tr w14:paraId="58859078" w14:textId="77777777" w:rsidTr="00935962">
        <w:tblPrEx>
          <w:tblW w:w="9832" w:type="dxa"/>
          <w:tblLook w:val="0600"/>
        </w:tblPrEx>
        <w:trPr>
          <w:trHeight w:val="576"/>
        </w:trPr>
        <w:tc>
          <w:tcPr>
            <w:tcW w:w="3199" w:type="dxa"/>
            <w:tcBorders>
              <w:top w:val="nil"/>
              <w:left w:val="single" w:sz="4" w:space="0" w:color="A5A5A5"/>
              <w:bottom w:val="single" w:sz="4" w:space="0" w:color="A5A5A5"/>
              <w:right w:val="single" w:sz="4" w:space="0" w:color="A5A5A5"/>
            </w:tcBorders>
            <w:vAlign w:val="center"/>
            <w:hideMark/>
          </w:tcPr>
          <w:p w:rsidR="00935962" w14:paraId="1622764A"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Kit Name:</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935962" w14:paraId="4320B326" w14:textId="77777777">
            <w:pPr>
              <w:pStyle w:val="NoSpacing"/>
              <w:spacing w:line="276" w:lineRule="auto"/>
              <w:rPr>
                <w:rFonts w:ascii="Arial" w:eastAsia="Times New Roman" w:hAnsi="Arial" w:cs="Arial"/>
                <w:color w:val="000000"/>
              </w:rPr>
            </w:pPr>
          </w:p>
        </w:tc>
      </w:tr>
      <w:tr w14:paraId="0510A65C" w14:textId="77777777" w:rsidTr="00935962">
        <w:tblPrEx>
          <w:tblW w:w="9832" w:type="dxa"/>
          <w:tblLook w:val="0600"/>
        </w:tblPrEx>
        <w:trPr>
          <w:trHeight w:val="1955"/>
        </w:trPr>
        <w:tc>
          <w:tcPr>
            <w:tcW w:w="3199" w:type="dxa"/>
            <w:tcBorders>
              <w:top w:val="single" w:sz="4" w:space="0" w:color="A5A5A5"/>
              <w:left w:val="single" w:sz="4" w:space="0" w:color="A5A5A5"/>
              <w:bottom w:val="single" w:sz="4" w:space="0" w:color="A5A5A5"/>
              <w:right w:val="single" w:sz="4" w:space="0" w:color="A5A5A5"/>
            </w:tcBorders>
            <w:vAlign w:val="center"/>
            <w:hideMark/>
          </w:tcPr>
          <w:p w:rsidR="00935962" w14:paraId="1704395E" w14:textId="77777777">
            <w:pPr>
              <w:pStyle w:val="NoSpacing"/>
              <w:spacing w:line="276" w:lineRule="auto"/>
              <w:jc w:val="right"/>
              <w:rPr>
                <w:rFonts w:ascii="Arial" w:eastAsia="Times New Roman" w:hAnsi="Arial" w:cs="Arial"/>
                <w:b/>
                <w:color w:val="000000"/>
              </w:rPr>
            </w:pPr>
            <w:r>
              <w:rPr>
                <w:rFonts w:ascii="Arial" w:eastAsia="Times New Roman" w:hAnsi="Arial" w:cs="Arial"/>
                <w:b/>
              </w:rPr>
              <w:t>Reason for Validation:</w:t>
            </w:r>
          </w:p>
        </w:tc>
        <w:bookmarkStart w:id="0" w:name="_Hlk127879747"/>
        <w:tc>
          <w:tcPr>
            <w:tcW w:w="2129" w:type="dxa"/>
            <w:tcBorders>
              <w:top w:val="single" w:sz="4" w:space="0" w:color="A5A5A5"/>
              <w:left w:val="single" w:sz="4" w:space="0" w:color="A5A5A5"/>
              <w:bottom w:val="single" w:sz="4" w:space="0" w:color="A5A5A5"/>
              <w:right w:val="single" w:sz="4" w:space="0" w:color="A5A5A5"/>
            </w:tcBorders>
            <w:vAlign w:val="center"/>
            <w:hideMark/>
          </w:tcPr>
          <w:p w:rsidR="00935962" w14:paraId="18198299"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1272626763"/>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rPr>
              <w:t xml:space="preserve">  </w:t>
            </w:r>
            <w:bookmarkEnd w:id="0"/>
            <w:r>
              <w:rPr>
                <w:rFonts w:ascii="Arial" w:eastAsia="Times New Roman" w:hAnsi="Arial" w:cs="Arial"/>
              </w:rPr>
              <w:t>Initial Validation</w:t>
            </w:r>
          </w:p>
        </w:tc>
        <w:tc>
          <w:tcPr>
            <w:tcW w:w="4504" w:type="dxa"/>
            <w:tcBorders>
              <w:top w:val="single" w:sz="4" w:space="0" w:color="A5A5A5"/>
              <w:left w:val="single" w:sz="4" w:space="0" w:color="A5A5A5"/>
              <w:bottom w:val="single" w:sz="4" w:space="0" w:color="A5A5A5"/>
              <w:right w:val="single" w:sz="4" w:space="0" w:color="A5A5A5"/>
            </w:tcBorders>
            <w:vAlign w:val="center"/>
            <w:hideMark/>
          </w:tcPr>
          <w:p w:rsidR="00935962" w14:paraId="25B3EAF2" w14:textId="77777777">
            <w:pPr>
              <w:pStyle w:val="NoSpacing"/>
              <w:spacing w:line="276" w:lineRule="auto"/>
              <w:rPr>
                <w:rFonts w:ascii="Arial" w:eastAsia="Times New Roman" w:hAnsi="Arial" w:cs="Arial"/>
              </w:rPr>
            </w:pPr>
            <w:sdt>
              <w:sdtPr>
                <w:rPr>
                  <w:rFonts w:ascii="Segoe UI Symbol" w:eastAsia="MS Gothic" w:hAnsi="Segoe UI Symbol" w:cs="Segoe UI Symbol"/>
                  <w:color w:val="000000"/>
                </w:rPr>
                <w:id w:val="1064214667"/>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rPr>
              <w:t xml:space="preserve"> Re-validation </w:t>
            </w:r>
            <w:r>
              <w:rPr>
                <w:rFonts w:ascii="Arial" w:eastAsia="Times New Roman" w:hAnsi="Arial" w:cs="Arial"/>
                <w:sz w:val="18"/>
              </w:rPr>
              <w:t>(choose one below)</w:t>
            </w:r>
          </w:p>
          <w:p w:rsidR="00935962" w14:paraId="024904B5"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2063944383"/>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Instrument move</w:t>
            </w:r>
          </w:p>
          <w:p w:rsidR="00935962" w14:paraId="46464F79"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82999872"/>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Instrument modified</w:t>
            </w:r>
          </w:p>
          <w:p w:rsidR="00935962" w14:paraId="1263A5E3"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1099568174"/>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Method change</w:t>
            </w:r>
          </w:p>
          <w:p w:rsidR="00935962" w14:paraId="13DFA02D"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556942487"/>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Other: </w:t>
            </w:r>
            <w:r>
              <w:rPr>
                <w:rFonts w:ascii="Arial" w:eastAsia="Times New Roman" w:hAnsi="Arial" w:cs="Arial"/>
                <w:color w:val="000000"/>
              </w:rPr>
              <w:softHyphen/>
              <w:t>____________________</w:t>
            </w:r>
          </w:p>
        </w:tc>
      </w:tr>
      <w:tr w14:paraId="54F0CF8B" w14:textId="77777777" w:rsidTr="00935962">
        <w:tblPrEx>
          <w:tblW w:w="9832" w:type="dxa"/>
          <w:tblLook w:val="0600"/>
        </w:tblPrEx>
        <w:trPr>
          <w:trHeight w:val="977"/>
        </w:trPr>
        <w:tc>
          <w:tcPr>
            <w:tcW w:w="3199" w:type="dxa"/>
            <w:tcBorders>
              <w:top w:val="single" w:sz="4" w:space="0" w:color="A5A5A5"/>
              <w:left w:val="single" w:sz="4" w:space="0" w:color="A5A5A5"/>
              <w:bottom w:val="single" w:sz="4" w:space="0" w:color="A5A5A5"/>
              <w:right w:val="single" w:sz="4" w:space="0" w:color="A5A5A5"/>
            </w:tcBorders>
            <w:vAlign w:val="center"/>
            <w:hideMark/>
          </w:tcPr>
          <w:p w:rsidR="00935962" w14:paraId="6ACAB9E3" w14:textId="77777777">
            <w:pPr>
              <w:pStyle w:val="NoSpacing"/>
              <w:spacing w:line="276" w:lineRule="auto"/>
              <w:jc w:val="right"/>
              <w:rPr>
                <w:rFonts w:ascii="Arial" w:hAnsi="Arial" w:cs="Arial"/>
                <w:b/>
              </w:rPr>
            </w:pPr>
            <w:r>
              <w:rPr>
                <w:rFonts w:ascii="Arial" w:hAnsi="Arial" w:cs="Arial"/>
                <w:b/>
              </w:rPr>
              <w:t>Regulatory Status:</w:t>
            </w:r>
          </w:p>
          <w:p w:rsidR="00935962" w14:paraId="7E4A2894" w14:textId="77777777">
            <w:pPr>
              <w:pStyle w:val="NoSpacing"/>
              <w:spacing w:line="276" w:lineRule="auto"/>
              <w:jc w:val="right"/>
              <w:rPr>
                <w:rFonts w:ascii="Arial" w:hAnsi="Arial" w:cs="Arial"/>
              </w:rPr>
            </w:pPr>
            <w:r>
              <w:rPr>
                <w:rFonts w:ascii="Arial" w:hAnsi="Arial" w:cs="Arial"/>
                <w:sz w:val="18"/>
              </w:rPr>
              <w:t>(check all that apply)</w:t>
            </w:r>
          </w:p>
        </w:tc>
        <w:tc>
          <w:tcPr>
            <w:tcW w:w="6633" w:type="dxa"/>
            <w:gridSpan w:val="2"/>
            <w:tcBorders>
              <w:top w:val="single" w:sz="4" w:space="0" w:color="A5A5A5"/>
              <w:left w:val="single" w:sz="4" w:space="0" w:color="A5A5A5"/>
              <w:bottom w:val="single" w:sz="4" w:space="0" w:color="A5A5A5"/>
              <w:right w:val="single" w:sz="4" w:space="0" w:color="A5A5A5"/>
            </w:tcBorders>
            <w:vAlign w:val="center"/>
            <w:hideMark/>
          </w:tcPr>
          <w:p w:rsidR="00935962" w14:paraId="7E03C45A"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569081551"/>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rPr>
              <w:t xml:space="preserve"> FDA Approved</w:t>
            </w:r>
            <w:r>
              <w:rPr>
                <w:rFonts w:ascii="Arial" w:eastAsia="Times New Roman" w:hAnsi="Arial" w:cs="Arial"/>
              </w:rPr>
              <w:tab/>
            </w:r>
            <w:sdt>
              <w:sdtPr>
                <w:rPr>
                  <w:rFonts w:ascii="Segoe UI Symbol" w:eastAsia="MS Gothic" w:hAnsi="Segoe UI Symbol" w:cs="Segoe UI Symbol"/>
                  <w:color w:val="000000"/>
                </w:rPr>
                <w:id w:val="1667208362"/>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FDA </w:t>
            </w:r>
            <w:r>
              <w:rPr>
                <w:rFonts w:ascii="Arial" w:eastAsia="Times New Roman" w:hAnsi="Arial" w:cs="Arial"/>
              </w:rPr>
              <w:t>Cleared</w:t>
            </w:r>
            <w:r>
              <w:rPr>
                <w:rFonts w:ascii="Arial" w:eastAsia="Times New Roman" w:hAnsi="Arial" w:cs="Arial"/>
              </w:rPr>
              <w:tab/>
            </w:r>
            <w:sdt>
              <w:sdtPr>
                <w:rPr>
                  <w:rFonts w:ascii="Segoe UI Symbol" w:eastAsia="MS Gothic" w:hAnsi="Segoe UI Symbol" w:cs="Segoe UI Symbol"/>
                  <w:color w:val="000000"/>
                </w:rPr>
                <w:id w:val="1805807327"/>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rPr>
              <w:t xml:space="preserve"> CE Marked</w:t>
            </w:r>
            <w:r>
              <w:rPr>
                <w:rFonts w:ascii="Arial" w:eastAsia="Times New Roman" w:hAnsi="Arial" w:cs="Arial"/>
              </w:rPr>
              <w:tab/>
            </w:r>
            <w:r>
              <w:rPr>
                <w:rFonts w:ascii="Arial" w:eastAsia="Times New Roman" w:hAnsi="Arial" w:cs="Arial"/>
                <w:color w:val="000000"/>
              </w:rPr>
              <w:t xml:space="preserve"> </w:t>
            </w:r>
          </w:p>
          <w:p w:rsidR="00935962" w14:paraId="7190A402" w14:textId="77777777">
            <w:pPr>
              <w:pStyle w:val="NoSpacing"/>
              <w:spacing w:line="276" w:lineRule="auto"/>
              <w:rPr>
                <w:rFonts w:ascii="Arial" w:eastAsia="Times New Roman" w:hAnsi="Arial" w:cs="Arial"/>
              </w:rPr>
            </w:pPr>
            <w:sdt>
              <w:sdtPr>
                <w:rPr>
                  <w:rFonts w:ascii="Segoe UI Symbol" w:eastAsia="MS Gothic" w:hAnsi="Segoe UI Symbol" w:cs="Segoe UI Symbol"/>
                  <w:color w:val="000000"/>
                </w:rPr>
                <w:id w:val="2064827108"/>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EUA </w:t>
            </w:r>
            <w:r>
              <w:rPr>
                <w:rFonts w:ascii="Arial" w:eastAsia="Times New Roman" w:hAnsi="Arial" w:cs="Arial"/>
                <w:color w:val="000000"/>
              </w:rPr>
              <w:tab/>
            </w:r>
            <w:r>
              <w:rPr>
                <w:rFonts w:ascii="Arial" w:eastAsia="Times New Roman" w:hAnsi="Arial" w:cs="Arial"/>
                <w:color w:val="000000"/>
              </w:rPr>
              <w:tab/>
            </w:r>
            <w:sdt>
              <w:sdtPr>
                <w:rPr>
                  <w:rFonts w:ascii="Segoe UI Symbol" w:eastAsia="MS Gothic" w:hAnsi="Segoe UI Symbol" w:cs="Segoe UI Symbol"/>
                  <w:color w:val="000000"/>
                </w:rPr>
                <w:id w:val="589443136"/>
                <w14:checkbox>
                  <w14:checked w14:val="0"/>
                  <w14:checkedState w14:val="2612" w14:font="MS Gothic"/>
                  <w14:uncheckedState w14:val="2610" w14:font="MS Gothic"/>
                </w14:checkbox>
              </w:sdtPr>
              <w:sdtContent>
                <w:r>
                  <w:rPr>
                    <w:rFonts w:ascii="MS Gothic" w:eastAsia="MS Gothic" w:hAnsi="MS Gothic" w:cs="Segoe UI Symbol" w:hint="eastAsia"/>
                    <w:color w:val="000000"/>
                  </w:rPr>
                  <w:t>☐</w:t>
                </w:r>
              </w:sdtContent>
            </w:sdt>
            <w:r>
              <w:rPr>
                <w:rFonts w:ascii="Arial" w:eastAsia="Times New Roman" w:hAnsi="Arial" w:cs="Arial"/>
                <w:color w:val="000000"/>
              </w:rPr>
              <w:t xml:space="preserve"> None</w:t>
            </w:r>
          </w:p>
        </w:tc>
      </w:tr>
    </w:tbl>
    <w:p w:rsidR="0096450D" w:rsidP="0096450D" w14:paraId="00835519" w14:textId="0634281F">
      <w:pPr>
        <w:rPr>
          <w:rFonts w:ascii="Arial" w:hAnsi="Arial" w:cs="Arial"/>
          <w:sz w:val="24"/>
          <w:szCs w:val="24"/>
        </w:rPr>
      </w:pPr>
    </w:p>
    <w:p w:rsidR="00935962" w:rsidP="00935962" w14:paraId="08B072A9" w14:textId="77777777">
      <w:pPr>
        <w:numPr>
          <w:ilvl w:val="0"/>
          <w:numId w:val="4"/>
        </w:numPr>
        <w:spacing w:before="240" w:after="0" w:line="276" w:lineRule="auto"/>
        <w:rPr>
          <w:rFonts w:ascii="Arial" w:hAnsi="Arial" w:cs="Arial"/>
          <w:b/>
        </w:rPr>
      </w:pPr>
      <w:bookmarkStart w:id="1" w:name="_Hlk131685052"/>
      <w:r>
        <w:rPr>
          <w:rFonts w:ascii="Arial" w:hAnsi="Arial" w:cs="Arial"/>
          <w:b/>
        </w:rPr>
        <w:t>Overview</w:t>
      </w:r>
    </w:p>
    <w:p w:rsidR="00935962" w:rsidP="00935962" w14:paraId="742B6567" w14:textId="0000E15F">
      <w:pPr>
        <w:numPr>
          <w:ilvl w:val="1"/>
          <w:numId w:val="4"/>
        </w:numPr>
        <w:spacing w:after="0" w:line="276" w:lineRule="auto"/>
        <w:rPr>
          <w:rFonts w:ascii="Arial" w:hAnsi="Arial" w:cs="Arial"/>
        </w:rPr>
      </w:pPr>
      <w:bookmarkStart w:id="2" w:name="_Hlk131685446"/>
      <w:r>
        <w:rPr>
          <w:rFonts w:ascii="Arial" w:hAnsi="Arial" w:cs="Arial"/>
        </w:rPr>
        <w:t xml:space="preserve">This plan was written using “VAL </w:t>
      </w:r>
      <w:r w:rsidR="00264E37">
        <w:rPr>
          <w:rFonts w:ascii="Arial" w:hAnsi="Arial" w:cs="Arial"/>
        </w:rPr>
        <w:t>3000</w:t>
      </w:r>
      <w:r>
        <w:rPr>
          <w:rFonts w:ascii="Arial" w:hAnsi="Arial" w:cs="Arial"/>
        </w:rPr>
        <w:t>_</w:t>
      </w:r>
      <w:r w:rsidR="005A60F3">
        <w:rPr>
          <w:rFonts w:ascii="Arial" w:hAnsi="Arial" w:cs="Arial"/>
        </w:rPr>
        <w:t>Mycobacteriology</w:t>
      </w:r>
      <w:r>
        <w:rPr>
          <w:rFonts w:ascii="Arial" w:hAnsi="Arial" w:cs="Arial"/>
        </w:rPr>
        <w:t xml:space="preserve"> Validation Guidelines” as a </w:t>
      </w:r>
      <w:r>
        <w:rPr>
          <w:rFonts w:ascii="Arial" w:hAnsi="Arial" w:cs="Arial"/>
        </w:rPr>
        <w:t>reference,</w:t>
      </w:r>
      <w:r>
        <w:rPr>
          <w:rFonts w:ascii="Arial" w:hAnsi="Arial" w:cs="Arial"/>
        </w:rPr>
        <w:t xml:space="preserve"> please refer to this document if more details are needed. </w:t>
      </w:r>
    </w:p>
    <w:p w:rsidR="00935962" w:rsidP="00935962" w14:paraId="3FDE2079" w14:textId="77777777">
      <w:pPr>
        <w:numPr>
          <w:ilvl w:val="1"/>
          <w:numId w:val="4"/>
        </w:numPr>
        <w:spacing w:after="0" w:line="276" w:lineRule="auto"/>
        <w:rPr>
          <w:rFonts w:ascii="Arial" w:hAnsi="Arial" w:cs="Arial"/>
        </w:rPr>
      </w:pPr>
      <w:bookmarkStart w:id="3" w:name="_Hlk131752027"/>
      <w:r>
        <w:rPr>
          <w:rFonts w:ascii="Arial" w:hAnsi="Arial" w:cs="Arial"/>
        </w:rPr>
        <w:t xml:space="preserve">All raw data reports will be saved in </w:t>
      </w:r>
      <w:r>
        <w:rPr>
          <w:rFonts w:ascii="Arial" w:hAnsi="Arial" w:cs="Arial"/>
          <w:color w:val="4472C4" w:themeColor="accent1"/>
        </w:rPr>
        <w:t>(insert location details)</w:t>
      </w:r>
    </w:p>
    <w:bookmarkEnd w:id="2"/>
    <w:bookmarkEnd w:id="3"/>
    <w:p w:rsidR="00413577" w:rsidRPr="00A4418A" w:rsidP="00A4418A" w14:paraId="4969B0B2" w14:textId="763B1855">
      <w:pPr>
        <w:numPr>
          <w:ilvl w:val="1"/>
          <w:numId w:val="4"/>
        </w:numPr>
        <w:spacing w:after="0" w:line="276" w:lineRule="auto"/>
        <w:rPr>
          <w:rFonts w:ascii="Arial" w:hAnsi="Arial" w:cs="Arial"/>
        </w:rPr>
      </w:pPr>
      <w:r>
        <w:rPr>
          <w:rFonts w:ascii="Arial" w:hAnsi="Arial" w:cs="Arial"/>
        </w:rPr>
        <w:t>The plan includes the following sections:</w:t>
      </w:r>
    </w:p>
    <w:p w:rsidR="00FF20A5" w:rsidP="00935962" w14:paraId="745628BF" w14:textId="62D11674">
      <w:pPr>
        <w:pStyle w:val="ListParagraph"/>
        <w:numPr>
          <w:ilvl w:val="0"/>
          <w:numId w:val="5"/>
        </w:numPr>
        <w:spacing w:after="0" w:line="276" w:lineRule="auto"/>
        <w:contextualSpacing w:val="0"/>
        <w:rPr>
          <w:rFonts w:ascii="Arial" w:hAnsi="Arial" w:cs="Arial"/>
        </w:rPr>
      </w:pPr>
      <w:r>
        <w:rPr>
          <w:rFonts w:ascii="Arial" w:hAnsi="Arial" w:cs="Arial"/>
        </w:rPr>
        <w:t>Sample Preparation</w:t>
      </w:r>
    </w:p>
    <w:p w:rsidR="00935962" w:rsidP="00935962" w14:paraId="0E6898CE" w14:textId="24AF4E28">
      <w:pPr>
        <w:pStyle w:val="ListParagraph"/>
        <w:numPr>
          <w:ilvl w:val="0"/>
          <w:numId w:val="5"/>
        </w:numPr>
        <w:spacing w:after="0" w:line="276" w:lineRule="auto"/>
        <w:contextualSpacing w:val="0"/>
        <w:rPr>
          <w:rFonts w:ascii="Arial" w:hAnsi="Arial" w:cs="Arial"/>
        </w:rPr>
      </w:pPr>
      <w:r>
        <w:rPr>
          <w:rFonts w:ascii="Arial" w:hAnsi="Arial" w:cs="Arial"/>
        </w:rPr>
        <w:t>Precision</w:t>
      </w:r>
    </w:p>
    <w:p w:rsidR="00935962" w:rsidP="00935962" w14:paraId="5DBAE030" w14:textId="54217934">
      <w:pPr>
        <w:pStyle w:val="ListParagraph"/>
        <w:numPr>
          <w:ilvl w:val="0"/>
          <w:numId w:val="5"/>
        </w:numPr>
        <w:spacing w:after="0" w:line="276" w:lineRule="auto"/>
        <w:contextualSpacing w:val="0"/>
        <w:rPr>
          <w:rFonts w:ascii="Arial" w:hAnsi="Arial" w:cs="Arial"/>
        </w:rPr>
      </w:pPr>
      <w:r>
        <w:rPr>
          <w:rFonts w:ascii="Arial" w:hAnsi="Arial" w:cs="Arial"/>
        </w:rPr>
        <w:t>Accuracy</w:t>
      </w:r>
    </w:p>
    <w:p w:rsidR="00A4418A" w:rsidP="00935962" w14:paraId="23339157" w14:textId="2B1399DD">
      <w:pPr>
        <w:pStyle w:val="ListParagraph"/>
        <w:numPr>
          <w:ilvl w:val="0"/>
          <w:numId w:val="5"/>
        </w:numPr>
        <w:spacing w:after="0" w:line="276" w:lineRule="auto"/>
        <w:contextualSpacing w:val="0"/>
        <w:rPr>
          <w:rFonts w:ascii="Arial" w:hAnsi="Arial" w:cs="Arial"/>
        </w:rPr>
      </w:pPr>
      <w:r>
        <w:rPr>
          <w:rFonts w:ascii="Arial" w:hAnsi="Arial" w:cs="Arial"/>
        </w:rPr>
        <w:t>Time to Detection (TTD)</w:t>
      </w:r>
    </w:p>
    <w:p w:rsidR="00935962" w:rsidP="00935962" w14:paraId="65378AF8" w14:textId="77777777">
      <w:pPr>
        <w:pStyle w:val="ListParagraph"/>
        <w:numPr>
          <w:ilvl w:val="0"/>
          <w:numId w:val="5"/>
        </w:numPr>
        <w:spacing w:after="0" w:line="276" w:lineRule="auto"/>
        <w:contextualSpacing w:val="0"/>
        <w:rPr>
          <w:rFonts w:ascii="Arial" w:hAnsi="Arial" w:cs="Arial"/>
        </w:rPr>
      </w:pPr>
      <w:r>
        <w:rPr>
          <w:rFonts w:ascii="Arial" w:hAnsi="Arial" w:cs="Arial"/>
        </w:rPr>
        <w:t>Analytical Sensitivity and Specificity</w:t>
      </w:r>
    </w:p>
    <w:p w:rsidR="00935962" w:rsidP="00935962" w14:paraId="1EDB3DC3" w14:textId="77777777">
      <w:pPr>
        <w:pStyle w:val="ListParagraph"/>
        <w:numPr>
          <w:ilvl w:val="0"/>
          <w:numId w:val="5"/>
        </w:numPr>
        <w:spacing w:after="0" w:line="276" w:lineRule="auto"/>
        <w:contextualSpacing w:val="0"/>
        <w:rPr>
          <w:rFonts w:ascii="Arial" w:hAnsi="Arial" w:cs="Arial"/>
        </w:rPr>
      </w:pPr>
      <w:r>
        <w:rPr>
          <w:rFonts w:ascii="Arial" w:hAnsi="Arial" w:cs="Arial"/>
        </w:rPr>
        <w:t>Method Approval</w:t>
      </w:r>
    </w:p>
    <w:p w:rsidR="00935962" w:rsidP="00935962" w14:paraId="5BDD2A5E" w14:textId="0D5E0908">
      <w:pPr>
        <w:pStyle w:val="ListParagraph"/>
        <w:numPr>
          <w:ilvl w:val="0"/>
          <w:numId w:val="5"/>
        </w:numPr>
        <w:spacing w:after="0" w:line="276" w:lineRule="auto"/>
        <w:contextualSpacing w:val="0"/>
        <w:rPr>
          <w:rFonts w:ascii="Arial" w:hAnsi="Arial" w:cs="Arial"/>
          <w:color w:val="4472C4" w:themeColor="accent1"/>
        </w:rPr>
      </w:pPr>
      <w:r>
        <w:rPr>
          <w:rFonts w:ascii="Arial" w:hAnsi="Arial" w:cs="Arial"/>
          <w:color w:val="4472C4" w:themeColor="accent1"/>
        </w:rPr>
        <w:t>(Insert/remove additional sections if needed)</w:t>
      </w:r>
      <w:bookmarkEnd w:id="1"/>
      <w:r w:rsidR="00FA23D5">
        <w:rPr>
          <w:rFonts w:ascii="Arial" w:hAnsi="Arial" w:cs="Arial"/>
          <w:color w:val="4472C4" w:themeColor="accent1"/>
        </w:rPr>
        <w:br/>
      </w:r>
      <w:bookmarkStart w:id="4" w:name="_GoBack"/>
      <w:bookmarkEnd w:id="4"/>
    </w:p>
    <w:p w:rsidR="00FA23D5" w:rsidRPr="00FA23D5" w:rsidP="00FA23D5" w14:paraId="66E4C328" w14:textId="385E7BDE">
      <w:pPr>
        <w:numPr>
          <w:ilvl w:val="0"/>
          <w:numId w:val="4"/>
        </w:numPr>
        <w:spacing w:after="0" w:line="276" w:lineRule="auto"/>
        <w:rPr>
          <w:rFonts w:ascii="Arial" w:hAnsi="Arial" w:cs="Arial"/>
          <w:bCs/>
        </w:rPr>
      </w:pPr>
      <w:r>
        <w:rPr>
          <w:rFonts w:ascii="Arial" w:hAnsi="Arial" w:cs="Arial"/>
          <w:b/>
        </w:rPr>
        <w:t>S</w:t>
      </w:r>
      <w:r>
        <w:rPr>
          <w:rFonts w:ascii="Arial" w:hAnsi="Arial" w:cs="Arial"/>
          <w:b/>
        </w:rPr>
        <w:t xml:space="preserve">ample Preparation </w:t>
      </w:r>
      <w:r>
        <w:rPr>
          <w:rFonts w:ascii="Arial" w:hAnsi="Arial" w:cs="Arial"/>
          <w:bCs/>
          <w:color w:val="4472C4" w:themeColor="accent1"/>
        </w:rPr>
        <w:t>(choose one option)</w:t>
      </w:r>
    </w:p>
    <w:p w:rsidR="00FA23D5" w:rsidRPr="00FA23D5" w:rsidP="00FA23D5" w14:paraId="346FDF7C" w14:textId="7C205CC9">
      <w:pPr>
        <w:numPr>
          <w:ilvl w:val="1"/>
          <w:numId w:val="4"/>
        </w:numPr>
        <w:spacing w:after="0" w:line="276" w:lineRule="auto"/>
        <w:rPr>
          <w:rFonts w:ascii="Arial" w:hAnsi="Arial" w:cs="Arial"/>
          <w:bCs/>
          <w:color w:val="4472C4" w:themeColor="accent1"/>
        </w:rPr>
      </w:pPr>
      <w:r w:rsidRPr="00FA23D5">
        <w:rPr>
          <w:rFonts w:ascii="Arial" w:hAnsi="Arial" w:cs="Arial"/>
          <w:bCs/>
          <w:color w:val="4472C4" w:themeColor="accent1"/>
        </w:rPr>
        <w:t>Spiked samples will be made by using a 0.5 McFarland standard and diluting by 1:</w:t>
      </w:r>
      <w:r>
        <w:rPr>
          <w:rFonts w:ascii="Arial" w:hAnsi="Arial" w:cs="Arial"/>
          <w:bCs/>
          <w:color w:val="4472C4" w:themeColor="accent1"/>
        </w:rPr>
        <w:t>10</w:t>
      </w:r>
      <w:r w:rsidRPr="00FA23D5">
        <w:rPr>
          <w:rFonts w:ascii="Arial" w:hAnsi="Arial" w:cs="Arial"/>
          <w:bCs/>
          <w:color w:val="4472C4" w:themeColor="accent1"/>
        </w:rPr>
        <w:t xml:space="preserve"> in sterile distilled water.</w:t>
      </w:r>
      <w:r>
        <w:rPr>
          <w:rFonts w:ascii="Arial" w:hAnsi="Arial" w:cs="Arial"/>
          <w:bCs/>
          <w:color w:val="4472C4" w:themeColor="accent1"/>
        </w:rPr>
        <w:t xml:space="preserve"> Media will be inoculated with (insert appropriate volume for the media being validated). </w:t>
      </w:r>
    </w:p>
    <w:p w:rsidR="00FA23D5" w:rsidRPr="00FA23D5" w:rsidP="00FA23D5" w14:paraId="7C28B51A" w14:textId="4B102DF0">
      <w:pPr>
        <w:numPr>
          <w:ilvl w:val="1"/>
          <w:numId w:val="4"/>
        </w:numPr>
        <w:spacing w:after="0" w:line="276" w:lineRule="auto"/>
        <w:rPr>
          <w:rFonts w:ascii="Arial" w:hAnsi="Arial" w:cs="Arial"/>
          <w:bCs/>
          <w:color w:val="4472C4" w:themeColor="accent1"/>
        </w:rPr>
      </w:pPr>
      <w:r w:rsidRPr="00FA23D5">
        <w:rPr>
          <w:rFonts w:ascii="Arial" w:hAnsi="Arial" w:cs="Arial"/>
          <w:bCs/>
          <w:color w:val="4472C4" w:themeColor="accent1"/>
        </w:rPr>
        <w:t xml:space="preserve">Proven negative sputum samples </w:t>
      </w:r>
      <w:r>
        <w:rPr>
          <w:rFonts w:ascii="Arial" w:hAnsi="Arial" w:cs="Arial"/>
          <w:bCs/>
          <w:color w:val="4472C4" w:themeColor="accent1"/>
        </w:rPr>
        <w:t>will</w:t>
      </w:r>
      <w:r w:rsidRPr="00FA23D5">
        <w:rPr>
          <w:rFonts w:ascii="Arial" w:hAnsi="Arial" w:cs="Arial"/>
          <w:bCs/>
          <w:color w:val="4472C4" w:themeColor="accent1"/>
        </w:rPr>
        <w:t xml:space="preserve"> be spiked to create samples to be processed in the same way as patient specimens</w:t>
      </w:r>
      <w:r>
        <w:rPr>
          <w:rFonts w:ascii="Arial" w:hAnsi="Arial" w:cs="Arial"/>
          <w:bCs/>
          <w:color w:val="4472C4" w:themeColor="accent1"/>
        </w:rPr>
        <w:t xml:space="preserve"> detailed in (</w:t>
      </w:r>
      <w:r w:rsidRPr="00835574">
        <w:rPr>
          <w:rFonts w:ascii="Arial" w:hAnsi="Arial" w:cs="Arial"/>
          <w:bCs/>
          <w:color w:val="FF0000"/>
        </w:rPr>
        <w:t>insert processing SOP title</w:t>
      </w:r>
      <w:r>
        <w:rPr>
          <w:rFonts w:ascii="Arial" w:hAnsi="Arial" w:cs="Arial"/>
          <w:bCs/>
          <w:color w:val="4472C4" w:themeColor="accent1"/>
        </w:rPr>
        <w:t>)</w:t>
      </w:r>
      <w:r w:rsidRPr="00FA23D5">
        <w:rPr>
          <w:rFonts w:ascii="Arial" w:hAnsi="Arial" w:cs="Arial"/>
          <w:bCs/>
          <w:color w:val="4472C4" w:themeColor="accent1"/>
        </w:rPr>
        <w:t xml:space="preserve">. </w:t>
      </w:r>
      <w:r>
        <w:rPr>
          <w:rFonts w:ascii="Arial" w:hAnsi="Arial" w:cs="Arial"/>
          <w:bCs/>
          <w:color w:val="4472C4" w:themeColor="accent1"/>
        </w:rPr>
        <w:br/>
      </w:r>
    </w:p>
    <w:p w:rsidR="00596E5A" w:rsidP="00596E5A" w14:paraId="0F3C554C" w14:textId="6BAA2C33">
      <w:pPr>
        <w:numPr>
          <w:ilvl w:val="0"/>
          <w:numId w:val="4"/>
        </w:numPr>
        <w:spacing w:after="0" w:line="276" w:lineRule="auto"/>
        <w:rPr>
          <w:rFonts w:ascii="Arial" w:hAnsi="Arial" w:cs="Arial"/>
          <w:b/>
        </w:rPr>
      </w:pPr>
      <w:r>
        <w:rPr>
          <w:rFonts w:ascii="Arial" w:hAnsi="Arial" w:cs="Arial"/>
          <w:b/>
        </w:rPr>
        <w:t>Precision</w:t>
      </w:r>
    </w:p>
    <w:p w:rsidR="00596E5A" w:rsidRPr="00FF20A5" w:rsidP="00596E5A" w14:paraId="18A1026E" w14:textId="0F4173A9">
      <w:pPr>
        <w:numPr>
          <w:ilvl w:val="0"/>
          <w:numId w:val="6"/>
        </w:numPr>
        <w:spacing w:after="0" w:line="276" w:lineRule="auto"/>
        <w:rPr>
          <w:rFonts w:ascii="Arial" w:hAnsi="Arial" w:cs="Arial"/>
          <w:color w:val="FF0000"/>
        </w:rPr>
      </w:pPr>
      <w:r>
        <w:rPr>
          <w:rFonts w:ascii="Arial" w:hAnsi="Arial" w:cs="Arial"/>
        </w:rPr>
        <w:t xml:space="preserve">Precision is reproducibility - the agreement of the measurements of replicate runs of the same sample. </w:t>
      </w:r>
      <w:r>
        <w:rPr>
          <w:rFonts w:ascii="Arial" w:hAnsi="Arial" w:cs="Arial"/>
          <w:color w:val="000000"/>
        </w:rPr>
        <w:t>It</w:t>
      </w:r>
      <w:r>
        <w:rPr>
          <w:rFonts w:ascii="Arial" w:hAnsi="Arial" w:cs="Arial"/>
        </w:rPr>
        <w:t xml:space="preserve"> is the process of determining the range of random error. </w:t>
      </w:r>
    </w:p>
    <w:p w:rsidR="00596E5A" w:rsidP="00596E5A" w14:paraId="73E6E3D0" w14:textId="359D1DEE">
      <w:pPr>
        <w:numPr>
          <w:ilvl w:val="0"/>
          <w:numId w:val="6"/>
        </w:numPr>
        <w:spacing w:after="0" w:line="276" w:lineRule="auto"/>
        <w:rPr>
          <w:rFonts w:ascii="Arial" w:hAnsi="Arial" w:cs="Arial"/>
          <w:color w:val="0000FF"/>
        </w:rPr>
      </w:pPr>
      <w:bookmarkStart w:id="5" w:name="_Hlk132618475"/>
      <w:r>
        <w:rPr>
          <w:rFonts w:ascii="Arial" w:hAnsi="Arial" w:cs="Arial"/>
        </w:rPr>
        <w:t xml:space="preserve">For qualitative tests, precision will be </w:t>
      </w:r>
      <w:r w:rsidR="00413577">
        <w:rPr>
          <w:rFonts w:ascii="Arial" w:hAnsi="Arial" w:cs="Arial"/>
        </w:rPr>
        <w:t>verified</w:t>
      </w:r>
      <w:r>
        <w:rPr>
          <w:rFonts w:ascii="Arial" w:hAnsi="Arial" w:cs="Arial"/>
        </w:rPr>
        <w:t xml:space="preserve"> only on analytes that are derived from a quantitative value </w:t>
      </w:r>
      <w:r w:rsidR="00413577">
        <w:rPr>
          <w:rFonts w:ascii="Arial" w:hAnsi="Arial" w:cs="Arial"/>
          <w:color w:val="4472C4" w:themeColor="accent1"/>
        </w:rPr>
        <w:t>(</w:t>
      </w:r>
      <w:r w:rsidR="00835574">
        <w:rPr>
          <w:rFonts w:ascii="Arial" w:hAnsi="Arial" w:cs="Arial"/>
          <w:color w:val="4472C4" w:themeColor="accent1"/>
        </w:rPr>
        <w:t>The MGIT uses Readable Light Units (RLUs)</w:t>
      </w:r>
      <w:r w:rsidR="00835574">
        <w:rPr>
          <w:rFonts w:ascii="Arial" w:hAnsi="Arial" w:cs="Arial"/>
        </w:rPr>
        <w:t xml:space="preserve"> </w:t>
      </w:r>
      <w:r w:rsidRPr="00835574" w:rsidR="00835574">
        <w:rPr>
          <w:rFonts w:ascii="Arial" w:hAnsi="Arial" w:cs="Arial"/>
          <w:color w:val="4472C4" w:themeColor="accent1"/>
        </w:rPr>
        <w:t>to determine a positive</w:t>
      </w:r>
      <w:r w:rsidR="00835574">
        <w:rPr>
          <w:rFonts w:ascii="Arial" w:hAnsi="Arial" w:cs="Arial"/>
        </w:rPr>
        <w:t xml:space="preserve"> </w:t>
      </w:r>
      <w:r w:rsidR="00835574">
        <w:rPr>
          <w:rFonts w:ascii="Arial" w:hAnsi="Arial" w:cs="Arial"/>
          <w:color w:val="4472C4" w:themeColor="accent1"/>
        </w:rPr>
        <w:t>so precision is required for MGIT but not LJ</w:t>
      </w:r>
      <w:r w:rsidR="00A4418A">
        <w:rPr>
          <w:rFonts w:ascii="Arial" w:hAnsi="Arial" w:cs="Arial"/>
          <w:color w:val="4472C4" w:themeColor="accent1"/>
        </w:rPr>
        <w:t>)</w:t>
      </w:r>
      <w:r w:rsidR="00835574">
        <w:rPr>
          <w:rFonts w:ascii="Arial" w:hAnsi="Arial" w:cs="Arial"/>
        </w:rPr>
        <w:t>.</w:t>
      </w:r>
    </w:p>
    <w:p w:rsidR="00596E5A" w:rsidP="00596E5A" w14:paraId="7BBEA90E" w14:textId="77777777">
      <w:pPr>
        <w:numPr>
          <w:ilvl w:val="0"/>
          <w:numId w:val="6"/>
        </w:numPr>
        <w:spacing w:after="0" w:line="276" w:lineRule="auto"/>
        <w:rPr>
          <w:rFonts w:ascii="Arial" w:hAnsi="Arial" w:cs="Arial"/>
        </w:rPr>
      </w:pPr>
      <w:r>
        <w:rPr>
          <w:rFonts w:ascii="Arial" w:hAnsi="Arial" w:cs="Arial"/>
        </w:rPr>
        <w:t>Precision testing for this method is:</w:t>
      </w:r>
    </w:p>
    <w:p w:rsidR="00596E5A" w:rsidP="00596E5A" w14:paraId="5C688016" w14:textId="77777777">
      <w:pPr>
        <w:spacing w:line="276" w:lineRule="auto"/>
        <w:ind w:left="1440"/>
        <w:rPr>
          <w:rFonts w:ascii="Arial" w:hAnsi="Arial" w:cs="Arial"/>
        </w:rPr>
      </w:pPr>
      <w:r>
        <w:rPr>
          <w:rFonts w:ascii="Arial" w:hAnsi="Arial" w:cs="Arial"/>
        </w:rPr>
        <w:t xml:space="preserve"> </w:t>
      </w:r>
      <w:r>
        <w:rPr>
          <w:rFonts w:ascii="Arial" w:hAnsi="Arial" w:cs="Arial"/>
        </w:rPr>
        <w:tab/>
      </w:r>
      <w:r>
        <w:rPr>
          <w:rFonts w:ascii="MS Gothic" w:eastAsia="MS Gothic" w:hAnsi="MS Gothic" w:cs="Segoe UI Symbol" w:hint="eastAsia"/>
          <w:color w:val="000000"/>
        </w:rPr>
        <w:t>☐</w:t>
      </w:r>
      <w:r>
        <w:rPr>
          <w:rFonts w:ascii="Arial" w:hAnsi="Arial" w:cs="Arial"/>
        </w:rPr>
        <w:t xml:space="preserve"> Required</w:t>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MS Gothic" w:eastAsia="MS Gothic" w:hAnsi="MS Gothic" w:cs="Segoe UI Symbol" w:hint="eastAsia"/>
          <w:color w:val="000000"/>
        </w:rPr>
        <w:t>☐</w:t>
      </w:r>
      <w:r>
        <w:rPr>
          <w:rFonts w:ascii="Segoe UI Symbol" w:eastAsia="Calibri" w:hAnsi="Segoe UI Symbol" w:cs="Segoe UI Symbol"/>
        </w:rPr>
        <w:t xml:space="preserve"> </w:t>
      </w:r>
      <w:r>
        <w:rPr>
          <w:rFonts w:ascii="Arial" w:eastAsia="Calibri" w:hAnsi="Arial" w:cs="Arial"/>
        </w:rPr>
        <w:t xml:space="preserve">Not Required </w:t>
      </w:r>
      <w:r>
        <w:rPr>
          <w:rFonts w:ascii="Arial" w:eastAsia="Calibri" w:hAnsi="Arial" w:cs="Arial"/>
          <w:sz w:val="20"/>
        </w:rPr>
        <w:t xml:space="preserve">(skip to next section) </w:t>
      </w:r>
    </w:p>
    <w:p w:rsidR="00596E5A" w:rsidP="00596E5A" w14:paraId="3006AB87" w14:textId="3CDB2394">
      <w:pPr>
        <w:numPr>
          <w:ilvl w:val="0"/>
          <w:numId w:val="6"/>
        </w:numPr>
        <w:spacing w:after="0" w:line="276" w:lineRule="auto"/>
        <w:rPr>
          <w:rFonts w:ascii="Arial" w:hAnsi="Arial" w:cs="Arial"/>
        </w:rPr>
      </w:pPr>
      <w:bookmarkStart w:id="6" w:name="_Hlk132618638"/>
      <w:bookmarkEnd w:id="5"/>
      <w:r>
        <w:rPr>
          <w:rFonts w:ascii="Arial" w:hAnsi="Arial" w:cs="Arial"/>
        </w:rPr>
        <w:t>Short-term (within-run) and long-term (between-day) precision will be determined by running H37R</w:t>
      </w:r>
      <w:r>
        <w:rPr>
          <w:rFonts w:ascii="Arial" w:hAnsi="Arial" w:cs="Arial"/>
          <w:vertAlign w:val="subscript"/>
        </w:rPr>
        <w:t>v</w:t>
      </w:r>
      <w:r>
        <w:rPr>
          <w:rFonts w:ascii="Arial" w:hAnsi="Arial" w:cs="Arial"/>
        </w:rPr>
        <w:t xml:space="preserve"> and </w:t>
      </w:r>
      <w:r w:rsidR="00A4418A">
        <w:rPr>
          <w:rFonts w:ascii="Arial" w:hAnsi="Arial" w:cs="Arial"/>
          <w:color w:val="4472C4" w:themeColor="accent1"/>
        </w:rPr>
        <w:t>(</w:t>
      </w:r>
      <w:r w:rsidRPr="00A4418A">
        <w:rPr>
          <w:rFonts w:ascii="Arial" w:hAnsi="Arial" w:cs="Arial"/>
          <w:color w:val="4472C4" w:themeColor="accent1"/>
        </w:rPr>
        <w:t>a species of rapid growing mycobacteria</w:t>
      </w:r>
      <w:r w:rsidR="00A4418A">
        <w:rPr>
          <w:rFonts w:ascii="Arial" w:hAnsi="Arial" w:cs="Arial"/>
          <w:color w:val="4472C4" w:themeColor="accent1"/>
        </w:rPr>
        <w:t>)</w:t>
      </w:r>
      <w:r>
        <w:rPr>
          <w:rFonts w:ascii="Arial" w:hAnsi="Arial" w:cs="Arial"/>
        </w:rPr>
        <w:t xml:space="preserve"> as follows:  </w:t>
      </w:r>
      <w:bookmarkEnd w:id="6"/>
    </w:p>
    <w:p w:rsidR="00596E5A" w:rsidP="00596E5A" w14:paraId="0AEF243A" w14:textId="57542681">
      <w:pPr>
        <w:numPr>
          <w:ilvl w:val="1"/>
          <w:numId w:val="6"/>
        </w:numPr>
        <w:spacing w:after="0" w:line="276" w:lineRule="auto"/>
        <w:rPr>
          <w:rFonts w:ascii="Arial" w:hAnsi="Arial" w:cs="Arial"/>
        </w:rPr>
      </w:pPr>
      <w:r>
        <w:rPr>
          <w:rFonts w:ascii="Arial" w:hAnsi="Arial" w:cs="Arial"/>
        </w:rPr>
        <w:t xml:space="preserve">For short-term, </w:t>
      </w:r>
      <w:r w:rsidR="00497164">
        <w:rPr>
          <w:rFonts w:ascii="Arial" w:hAnsi="Arial" w:cs="Arial"/>
        </w:rPr>
        <w:t>H37R</w:t>
      </w:r>
      <w:r w:rsidR="00497164">
        <w:rPr>
          <w:rFonts w:ascii="Arial" w:hAnsi="Arial" w:cs="Arial"/>
          <w:vertAlign w:val="subscript"/>
        </w:rPr>
        <w:t>v</w:t>
      </w:r>
      <w:r w:rsidR="00497164">
        <w:rPr>
          <w:rFonts w:ascii="Arial" w:hAnsi="Arial" w:cs="Arial"/>
        </w:rPr>
        <w:t xml:space="preserve"> in triplicate, </w:t>
      </w:r>
      <w:r w:rsidRPr="00A4418A" w:rsidR="00497164">
        <w:rPr>
          <w:rFonts w:ascii="Arial" w:hAnsi="Arial" w:cs="Arial"/>
          <w:color w:val="4472C4" w:themeColor="accent1"/>
        </w:rPr>
        <w:t>(</w:t>
      </w:r>
      <w:r w:rsidR="00497164">
        <w:rPr>
          <w:rFonts w:ascii="Arial" w:hAnsi="Arial" w:cs="Arial"/>
          <w:color w:val="4472C4" w:themeColor="accent1"/>
        </w:rPr>
        <w:t>a non-mycobacteria species such as E. coli</w:t>
      </w:r>
      <w:r w:rsidRPr="00A4418A" w:rsidR="00497164">
        <w:rPr>
          <w:rFonts w:ascii="Arial" w:hAnsi="Arial" w:cs="Arial"/>
          <w:color w:val="4472C4" w:themeColor="accent1"/>
        </w:rPr>
        <w:t>)</w:t>
      </w:r>
      <w:r w:rsidR="00497164">
        <w:rPr>
          <w:rFonts w:ascii="Arial" w:hAnsi="Arial" w:cs="Arial"/>
        </w:rPr>
        <w:t>, and a negative control containing only phosphate buffer will be set up</w:t>
      </w:r>
      <w:r>
        <w:rPr>
          <w:rFonts w:ascii="Arial" w:hAnsi="Arial" w:cs="Arial"/>
        </w:rPr>
        <w:t xml:space="preserve"> in one run.</w:t>
      </w:r>
    </w:p>
    <w:p w:rsidR="00596E5A" w:rsidP="00596E5A" w14:paraId="134D71CE" w14:textId="606EACFC">
      <w:pPr>
        <w:numPr>
          <w:ilvl w:val="1"/>
          <w:numId w:val="6"/>
        </w:numPr>
        <w:spacing w:after="0" w:line="276" w:lineRule="auto"/>
        <w:rPr>
          <w:rFonts w:ascii="Arial" w:hAnsi="Arial" w:cs="Arial"/>
        </w:rPr>
      </w:pPr>
      <w:r>
        <w:rPr>
          <w:rFonts w:ascii="Arial" w:hAnsi="Arial" w:cs="Arial"/>
        </w:rPr>
        <w:t>For long-term, H37R</w:t>
      </w:r>
      <w:r>
        <w:rPr>
          <w:rFonts w:ascii="Arial" w:hAnsi="Arial" w:cs="Arial"/>
          <w:vertAlign w:val="subscript"/>
        </w:rPr>
        <w:t>v</w:t>
      </w:r>
      <w:r>
        <w:rPr>
          <w:rFonts w:ascii="Arial" w:hAnsi="Arial" w:cs="Arial"/>
        </w:rPr>
        <w:t xml:space="preserve"> </w:t>
      </w:r>
      <w:r w:rsidR="00497164">
        <w:rPr>
          <w:rFonts w:ascii="Arial" w:hAnsi="Arial" w:cs="Arial"/>
        </w:rPr>
        <w:t xml:space="preserve">in triplicate, </w:t>
      </w:r>
      <w:r w:rsidRPr="00A4418A" w:rsidR="00A4418A">
        <w:rPr>
          <w:rFonts w:ascii="Arial" w:hAnsi="Arial" w:cs="Arial"/>
          <w:color w:val="4472C4" w:themeColor="accent1"/>
        </w:rPr>
        <w:t>(</w:t>
      </w:r>
      <w:r w:rsidR="00497164">
        <w:rPr>
          <w:rFonts w:ascii="Arial" w:hAnsi="Arial" w:cs="Arial"/>
          <w:color w:val="4472C4" w:themeColor="accent1"/>
        </w:rPr>
        <w:t>a non-mycobacteria species such as E. coli</w:t>
      </w:r>
      <w:r w:rsidRPr="00A4418A" w:rsidR="00A4418A">
        <w:rPr>
          <w:rFonts w:ascii="Arial" w:hAnsi="Arial" w:cs="Arial"/>
          <w:color w:val="4472C4" w:themeColor="accent1"/>
        </w:rPr>
        <w:t>)</w:t>
      </w:r>
      <w:r w:rsidR="00497164">
        <w:rPr>
          <w:rFonts w:ascii="Arial" w:hAnsi="Arial" w:cs="Arial"/>
        </w:rPr>
        <w:t>, and a negative control containing only phosphate buffer</w:t>
      </w:r>
      <w:r w:rsidRPr="00A4418A">
        <w:rPr>
          <w:rFonts w:ascii="Arial" w:hAnsi="Arial" w:cs="Arial"/>
        </w:rPr>
        <w:t xml:space="preserve"> </w:t>
      </w:r>
      <w:r>
        <w:rPr>
          <w:rFonts w:ascii="Arial" w:hAnsi="Arial" w:cs="Arial"/>
        </w:rPr>
        <w:t>will be tested once per day for three days.</w:t>
      </w:r>
      <w:r w:rsidR="00497164">
        <w:rPr>
          <w:rFonts w:ascii="Arial" w:hAnsi="Arial" w:cs="Arial"/>
        </w:rPr>
        <w:t xml:space="preserve"> </w:t>
      </w:r>
      <w:r w:rsidR="00497164">
        <w:rPr>
          <w:rFonts w:ascii="Arial" w:hAnsi="Arial" w:cs="Arial"/>
          <w:color w:val="4472C4" w:themeColor="accent1"/>
        </w:rPr>
        <w:t>(</w:t>
      </w:r>
      <w:r w:rsidR="0046303A">
        <w:rPr>
          <w:rFonts w:ascii="Arial" w:hAnsi="Arial" w:cs="Arial"/>
          <w:color w:val="4472C4" w:themeColor="accent1"/>
        </w:rPr>
        <w:t>If verifying MGIT, place samples in a different drawer each day)</w:t>
      </w:r>
      <w:r w:rsidR="00497164">
        <w:rPr>
          <w:rFonts w:ascii="Arial" w:hAnsi="Arial" w:cs="Arial"/>
          <w:color w:val="4472C4" w:themeColor="accent1"/>
        </w:rPr>
        <w:t xml:space="preserve"> </w:t>
      </w:r>
      <w:r>
        <w:rPr>
          <w:rFonts w:ascii="Arial" w:hAnsi="Arial" w:cs="Arial"/>
        </w:rPr>
        <w:t xml:space="preserve">  </w:t>
      </w:r>
    </w:p>
    <w:p w:rsidR="00596E5A" w:rsidP="00596E5A" w14:paraId="1D13B02C" w14:textId="5A8FC1F4">
      <w:pPr>
        <w:numPr>
          <w:ilvl w:val="0"/>
          <w:numId w:val="6"/>
        </w:numPr>
        <w:spacing w:after="0" w:line="276" w:lineRule="auto"/>
        <w:rPr>
          <w:rFonts w:ascii="Arial" w:hAnsi="Arial" w:cs="Arial"/>
        </w:rPr>
      </w:pPr>
      <w:r>
        <w:rPr>
          <w:rFonts w:ascii="Arial" w:hAnsi="Arial" w:cs="Arial"/>
        </w:rPr>
        <w:t xml:space="preserve">Acceptability criteria: </w:t>
      </w:r>
      <w:r w:rsidR="00A4418A">
        <w:rPr>
          <w:rFonts w:ascii="Arial" w:hAnsi="Arial" w:cs="Arial"/>
        </w:rPr>
        <w:t>Using spiked samples, the acceptability is expected to be 100% growth</w:t>
      </w:r>
      <w:r w:rsidR="00FA23D5">
        <w:rPr>
          <w:rFonts w:ascii="Arial" w:hAnsi="Arial" w:cs="Arial"/>
        </w:rPr>
        <w:t xml:space="preserve"> of mycobacteria samples</w:t>
      </w:r>
      <w:r w:rsidR="00A4418A">
        <w:rPr>
          <w:rFonts w:ascii="Arial" w:hAnsi="Arial" w:cs="Arial"/>
        </w:rPr>
        <w:t>. Any samples that fail to grow or that do not grow in the expected TTD for the species will need to be explained.</w:t>
      </w:r>
      <w:r w:rsidR="00FA23D5">
        <w:rPr>
          <w:rFonts w:ascii="Arial" w:hAnsi="Arial" w:cs="Arial"/>
        </w:rPr>
        <w:t xml:space="preserve"> Below 90% growth is considered unacceptable. </w:t>
      </w:r>
      <w:r w:rsidR="00FA23D5">
        <w:rPr>
          <w:rFonts w:ascii="Arial" w:hAnsi="Arial" w:cs="Arial"/>
        </w:rPr>
        <w:br/>
      </w:r>
    </w:p>
    <w:p w:rsidR="00413577" w:rsidP="00413577" w14:paraId="67643F58" w14:textId="77777777">
      <w:pPr>
        <w:numPr>
          <w:ilvl w:val="0"/>
          <w:numId w:val="4"/>
        </w:numPr>
        <w:spacing w:after="0" w:line="276" w:lineRule="auto"/>
        <w:rPr>
          <w:rFonts w:ascii="Arial" w:hAnsi="Arial" w:cs="Arial"/>
          <w:b/>
        </w:rPr>
      </w:pPr>
      <w:r>
        <w:rPr>
          <w:rFonts w:ascii="Arial" w:hAnsi="Arial" w:cs="Arial"/>
          <w:b/>
        </w:rPr>
        <w:t>Accuracy</w:t>
      </w:r>
    </w:p>
    <w:p w:rsidR="00413577" w:rsidP="00413577" w14:paraId="0BDEFE45" w14:textId="260F93F2">
      <w:pPr>
        <w:numPr>
          <w:ilvl w:val="0"/>
          <w:numId w:val="7"/>
        </w:numPr>
        <w:spacing w:after="0" w:line="276" w:lineRule="auto"/>
        <w:rPr>
          <w:rFonts w:ascii="Arial" w:hAnsi="Arial" w:cs="Arial"/>
          <w:b/>
          <w:i/>
          <w:u w:val="single"/>
        </w:rPr>
      </w:pPr>
      <w:r>
        <w:rPr>
          <w:rFonts w:ascii="Arial" w:hAnsi="Arial" w:cs="Arial"/>
        </w:rPr>
        <w:t xml:space="preserve">Accuracy is the true value of a substance being measured. Verification of accuracy is the process of determining that the test system is producing true, valid results. Accuracy will be demonstrated using </w:t>
      </w:r>
      <w:bookmarkStart w:id="7" w:name="_Hlk146612856"/>
      <w:r>
        <w:rPr>
          <w:rFonts w:ascii="Arial" w:hAnsi="Arial" w:cs="Arial"/>
          <w:color w:val="4472C4" w:themeColor="accent1"/>
        </w:rPr>
        <w:t>(insert comparison method details</w:t>
      </w:r>
      <w:r w:rsidR="00FA23D5">
        <w:rPr>
          <w:rFonts w:ascii="Arial" w:hAnsi="Arial" w:cs="Arial"/>
          <w:color w:val="4472C4" w:themeColor="accent1"/>
        </w:rPr>
        <w:t xml:space="preserve"> such as spiked </w:t>
      </w:r>
      <w:r w:rsidR="00497164">
        <w:rPr>
          <w:rFonts w:ascii="Arial" w:hAnsi="Arial" w:cs="Arial"/>
          <w:color w:val="4472C4" w:themeColor="accent1"/>
        </w:rPr>
        <w:t xml:space="preserve">EQA </w:t>
      </w:r>
      <w:r w:rsidR="00FA23D5">
        <w:rPr>
          <w:rFonts w:ascii="Arial" w:hAnsi="Arial" w:cs="Arial"/>
          <w:color w:val="4472C4" w:themeColor="accent1"/>
        </w:rPr>
        <w:t>samples</w:t>
      </w:r>
      <w:r>
        <w:rPr>
          <w:rFonts w:ascii="Arial" w:hAnsi="Arial" w:cs="Arial"/>
          <w:color w:val="4472C4" w:themeColor="accent1"/>
        </w:rPr>
        <w:t>)</w:t>
      </w:r>
      <w:bookmarkEnd w:id="7"/>
    </w:p>
    <w:p w:rsidR="00413577" w:rsidP="00413577" w14:paraId="04CD54BE" w14:textId="695E13BE">
      <w:pPr>
        <w:numPr>
          <w:ilvl w:val="0"/>
          <w:numId w:val="7"/>
        </w:numPr>
        <w:spacing w:after="0" w:line="276" w:lineRule="auto"/>
        <w:rPr>
          <w:rFonts w:ascii="Arial" w:hAnsi="Arial" w:cs="Arial"/>
          <w:b/>
          <w:i/>
          <w:u w:val="single"/>
        </w:rPr>
      </w:pPr>
      <w:r>
        <w:rPr>
          <w:rFonts w:ascii="Arial" w:hAnsi="Arial" w:cs="Arial"/>
        </w:rPr>
        <w:t xml:space="preserve">A minimum of </w:t>
      </w:r>
      <w:r w:rsidR="00AA3987">
        <w:rPr>
          <w:rFonts w:ascii="Arial" w:hAnsi="Arial" w:cs="Arial"/>
        </w:rPr>
        <w:t>1</w:t>
      </w:r>
      <w:r w:rsidR="00A4418A">
        <w:rPr>
          <w:rFonts w:ascii="Arial" w:hAnsi="Arial" w:cs="Arial"/>
        </w:rPr>
        <w:t>0</w:t>
      </w:r>
      <w:r>
        <w:rPr>
          <w:rFonts w:ascii="Arial" w:hAnsi="Arial" w:cs="Arial"/>
        </w:rPr>
        <w:t xml:space="preserve"> samples </w:t>
      </w:r>
      <w:r w:rsidR="00A4418A">
        <w:rPr>
          <w:rFonts w:ascii="Arial" w:hAnsi="Arial" w:cs="Arial"/>
        </w:rPr>
        <w:t>will be used</w:t>
      </w:r>
      <w:r>
        <w:rPr>
          <w:rFonts w:ascii="Arial" w:hAnsi="Arial" w:cs="Arial"/>
        </w:rPr>
        <w:t xml:space="preserve">. These samples will include </w:t>
      </w:r>
      <w:r>
        <w:rPr>
          <w:rFonts w:ascii="Arial" w:hAnsi="Arial" w:cs="Arial"/>
          <w:color w:val="4472C4" w:themeColor="accent1"/>
        </w:rPr>
        <w:t>(describe sample details, such as patient samples</w:t>
      </w:r>
      <w:r w:rsidR="00FA23D5">
        <w:rPr>
          <w:rFonts w:ascii="Arial" w:hAnsi="Arial" w:cs="Arial"/>
          <w:color w:val="4472C4" w:themeColor="accent1"/>
        </w:rPr>
        <w:t>, ATCC strains, or</w:t>
      </w:r>
      <w:r>
        <w:rPr>
          <w:rFonts w:ascii="Arial" w:hAnsi="Arial" w:cs="Arial"/>
          <w:color w:val="4472C4" w:themeColor="accent1"/>
        </w:rPr>
        <w:t xml:space="preserve"> EQA panels</w:t>
      </w:r>
      <w:r w:rsidR="00A4418A">
        <w:rPr>
          <w:rFonts w:ascii="Arial" w:hAnsi="Arial" w:cs="Arial"/>
          <w:color w:val="4472C4" w:themeColor="accent1"/>
        </w:rPr>
        <w:t xml:space="preserve">, along with a breakdown of species. The species used should cover the range of species that the lab expects to encounter during routine testing. Multiple copies of a species can be used, such as </w:t>
      </w:r>
      <w:r w:rsidR="00A4418A">
        <w:rPr>
          <w:rFonts w:ascii="Arial" w:hAnsi="Arial" w:cs="Arial"/>
          <w:color w:val="4472C4" w:themeColor="accent1"/>
        </w:rPr>
        <w:t>Mtb</w:t>
      </w:r>
      <w:r w:rsidR="00A4418A">
        <w:rPr>
          <w:rFonts w:ascii="Arial" w:hAnsi="Arial" w:cs="Arial"/>
          <w:color w:val="4472C4" w:themeColor="accent1"/>
        </w:rPr>
        <w:t>, as long as they are not the same strain</w:t>
      </w:r>
      <w:r w:rsidR="00FA23D5">
        <w:rPr>
          <w:rFonts w:ascii="Arial" w:hAnsi="Arial" w:cs="Arial"/>
          <w:color w:val="4472C4" w:themeColor="accent1"/>
        </w:rPr>
        <w:t xml:space="preserve"> or repeated samples. </w:t>
      </w:r>
      <w:r w:rsidR="00AA3987">
        <w:rPr>
          <w:rFonts w:ascii="Arial" w:hAnsi="Arial" w:cs="Arial"/>
          <w:color w:val="4472C4" w:themeColor="accent1"/>
        </w:rPr>
        <w:t>If verifying the MGIT, i</w:t>
      </w:r>
      <w:r w:rsidR="00FA23D5">
        <w:rPr>
          <w:rFonts w:ascii="Arial" w:hAnsi="Arial" w:cs="Arial"/>
          <w:color w:val="4472C4" w:themeColor="accent1"/>
        </w:rPr>
        <w:t>nclude a non-mycobacteria species that will not grow, such as E. coli</w:t>
      </w:r>
      <w:r w:rsidR="00AA3987">
        <w:rPr>
          <w:rFonts w:ascii="Arial" w:hAnsi="Arial" w:cs="Arial"/>
          <w:color w:val="4472C4" w:themeColor="accent1"/>
        </w:rPr>
        <w:t>, and a MGIT tube only inoculated with phosphate buffer</w:t>
      </w:r>
      <w:r w:rsidR="00F73EE7">
        <w:rPr>
          <w:rFonts w:ascii="Arial" w:hAnsi="Arial" w:cs="Arial"/>
          <w:color w:val="4472C4" w:themeColor="accent1"/>
        </w:rPr>
        <w:t>. These two tubes do not count towards the 10 minimum needed for verification</w:t>
      </w:r>
      <w:r>
        <w:rPr>
          <w:rFonts w:ascii="Arial" w:hAnsi="Arial" w:cs="Arial"/>
          <w:color w:val="4472C4" w:themeColor="accent1"/>
        </w:rPr>
        <w:t>)</w:t>
      </w:r>
      <w:r>
        <w:rPr>
          <w:rFonts w:ascii="Arial" w:hAnsi="Arial" w:cs="Arial"/>
        </w:rPr>
        <w:t>.</w:t>
      </w:r>
      <w:r w:rsidR="00FF20A5">
        <w:rPr>
          <w:rFonts w:ascii="Arial" w:hAnsi="Arial" w:cs="Arial"/>
        </w:rPr>
        <w:t xml:space="preserve"> </w:t>
      </w:r>
    </w:p>
    <w:p w:rsidR="00413577" w:rsidP="00413577" w14:paraId="5438AEED" w14:textId="1CD68D10">
      <w:pPr>
        <w:numPr>
          <w:ilvl w:val="0"/>
          <w:numId w:val="7"/>
        </w:numPr>
        <w:spacing w:after="0" w:line="276" w:lineRule="auto"/>
        <w:rPr>
          <w:rFonts w:ascii="Arial" w:hAnsi="Arial" w:cs="Arial"/>
          <w:b/>
        </w:rPr>
      </w:pPr>
      <w:r>
        <w:rPr>
          <w:rFonts w:ascii="Arial" w:hAnsi="Arial" w:cs="Arial"/>
        </w:rPr>
        <w:t xml:space="preserve">Acceptability criteria: </w:t>
      </w:r>
      <w:r w:rsidR="00835574">
        <w:rPr>
          <w:rFonts w:ascii="Arial" w:hAnsi="Arial" w:cs="Arial"/>
        </w:rPr>
        <w:t xml:space="preserve">Using spiked samples, the acceptability is expected to be 100% growth of mycobacteria samples. Any samples that fail to grow or that do not grow in </w:t>
      </w:r>
      <w:r w:rsidR="00835574">
        <w:rPr>
          <w:rFonts w:ascii="Arial" w:hAnsi="Arial" w:cs="Arial"/>
        </w:rPr>
        <w:t>the expected TTD for the species will need to be explained. Below 90% growth is considered unacceptable.</w:t>
      </w:r>
    </w:p>
    <w:p w:rsidR="00413577" w:rsidP="00413577" w14:paraId="030838C6" w14:textId="77777777">
      <w:pPr>
        <w:suppressAutoHyphens/>
        <w:autoSpaceDE w:val="0"/>
        <w:spacing w:line="276" w:lineRule="auto"/>
        <w:rPr>
          <w:rFonts w:ascii="Arial" w:hAnsi="Arial" w:cs="Arial"/>
        </w:rPr>
      </w:pPr>
    </w:p>
    <w:p w:rsidR="00FA23D5" w:rsidP="00413577" w14:paraId="3FB76D3C" w14:textId="1D61FF9C">
      <w:pPr>
        <w:numPr>
          <w:ilvl w:val="0"/>
          <w:numId w:val="4"/>
        </w:numPr>
        <w:suppressAutoHyphens/>
        <w:autoSpaceDE w:val="0"/>
        <w:spacing w:after="0" w:line="276" w:lineRule="auto"/>
        <w:rPr>
          <w:rFonts w:ascii="Arial" w:hAnsi="Arial" w:cs="Arial"/>
          <w:b/>
        </w:rPr>
      </w:pPr>
      <w:r>
        <w:rPr>
          <w:rFonts w:ascii="Arial" w:hAnsi="Arial" w:cs="Arial"/>
          <w:b/>
        </w:rPr>
        <w:t>Time to Detection (TTD)</w:t>
      </w:r>
    </w:p>
    <w:p w:rsidR="00FA23D5" w:rsidRPr="00FA23D5" w:rsidP="00FA23D5" w14:paraId="5397C2C3" w14:textId="02C998F3">
      <w:pPr>
        <w:numPr>
          <w:ilvl w:val="1"/>
          <w:numId w:val="4"/>
        </w:numPr>
        <w:suppressAutoHyphens/>
        <w:autoSpaceDE w:val="0"/>
        <w:spacing w:after="0" w:line="276" w:lineRule="auto"/>
        <w:rPr>
          <w:rFonts w:ascii="Arial" w:hAnsi="Arial" w:cs="Arial"/>
          <w:b/>
        </w:rPr>
      </w:pPr>
      <w:r>
        <w:rPr>
          <w:rFonts w:ascii="Arial" w:hAnsi="Arial" w:cs="Arial"/>
          <w:bCs/>
        </w:rPr>
        <w:t>For precision and accuracy, record the TTD and include that data in the final report</w:t>
      </w:r>
      <w:r w:rsidR="00835574">
        <w:rPr>
          <w:rFonts w:ascii="Arial" w:hAnsi="Arial" w:cs="Arial"/>
          <w:bCs/>
        </w:rPr>
        <w:t xml:space="preserve"> in the precision and accuracy sections</w:t>
      </w:r>
      <w:r>
        <w:rPr>
          <w:rFonts w:ascii="Arial" w:hAnsi="Arial" w:cs="Arial"/>
          <w:bCs/>
        </w:rPr>
        <w:t xml:space="preserve">. </w:t>
      </w:r>
    </w:p>
    <w:p w:rsidR="00FA23D5" w:rsidP="00FA23D5" w14:paraId="24F4B350" w14:textId="77777777">
      <w:pPr>
        <w:suppressAutoHyphens/>
        <w:autoSpaceDE w:val="0"/>
        <w:spacing w:after="0" w:line="276" w:lineRule="auto"/>
        <w:ind w:left="1080"/>
        <w:rPr>
          <w:rFonts w:ascii="Arial" w:hAnsi="Arial" w:cs="Arial"/>
          <w:b/>
        </w:rPr>
      </w:pPr>
    </w:p>
    <w:p w:rsidR="00413577" w:rsidRPr="00FF20A5" w:rsidP="00833820" w14:paraId="7BBAC13B" w14:textId="7F6DF81C">
      <w:pPr>
        <w:numPr>
          <w:ilvl w:val="0"/>
          <w:numId w:val="4"/>
        </w:numPr>
        <w:suppressAutoHyphens/>
        <w:autoSpaceDE w:val="0"/>
        <w:spacing w:after="0" w:line="276" w:lineRule="auto"/>
        <w:rPr>
          <w:rFonts w:ascii="Arial" w:hAnsi="Arial" w:cs="Arial"/>
        </w:rPr>
      </w:pPr>
      <w:r w:rsidRPr="00FF20A5">
        <w:rPr>
          <w:rFonts w:ascii="Arial" w:hAnsi="Arial" w:cs="Arial"/>
          <w:b/>
        </w:rPr>
        <w:t>Analytical Sensitivity</w:t>
      </w:r>
      <w:r w:rsidRPr="00FF20A5">
        <w:rPr>
          <w:rFonts w:ascii="Arial" w:hAnsi="Arial" w:cs="Arial"/>
        </w:rPr>
        <w:t xml:space="preserve"> is the lowest concentration of an analyte that can be measured (also called Lower Limit of Detection). </w:t>
      </w:r>
      <w:r w:rsidRPr="00FF20A5">
        <w:rPr>
          <w:rFonts w:ascii="Arial" w:hAnsi="Arial" w:cs="Arial"/>
          <w:b/>
        </w:rPr>
        <w:t>Analytical Specificity</w:t>
      </w:r>
      <w:r w:rsidRPr="00FF20A5">
        <w:rPr>
          <w:rFonts w:ascii="Arial" w:hAnsi="Arial" w:cs="Arial"/>
        </w:rPr>
        <w:t xml:space="preserve"> is the determination of the effect of interfering substances. For an FDA approved, unmodified method the manufacturer’s stated analytical sensitivity and specificity will be used.</w:t>
      </w:r>
      <w:r w:rsidRPr="00FF20A5" w:rsidR="00FA23D5">
        <w:rPr>
          <w:rFonts w:ascii="Arial" w:hAnsi="Arial" w:cs="Arial"/>
        </w:rPr>
        <w:t xml:space="preserve"> </w:t>
      </w:r>
      <w:r w:rsidR="00FF20A5">
        <w:rPr>
          <w:rFonts w:ascii="Arial" w:hAnsi="Arial" w:cs="Arial"/>
        </w:rPr>
        <w:br/>
      </w:r>
    </w:p>
    <w:p w:rsidR="00413577" w:rsidP="00413577" w14:paraId="4693FAA1" w14:textId="77777777">
      <w:pPr>
        <w:numPr>
          <w:ilvl w:val="0"/>
          <w:numId w:val="4"/>
        </w:numPr>
        <w:spacing w:after="0" w:line="276" w:lineRule="auto"/>
        <w:rPr>
          <w:rFonts w:ascii="Arial" w:hAnsi="Arial" w:cs="Arial"/>
          <w:b/>
        </w:rPr>
      </w:pPr>
      <w:r>
        <w:rPr>
          <w:rFonts w:ascii="Arial" w:hAnsi="Arial" w:cs="Arial"/>
          <w:b/>
        </w:rPr>
        <w:t>Method Approval</w:t>
      </w:r>
      <w:r>
        <w:rPr>
          <w:rFonts w:ascii="Arial" w:hAnsi="Arial" w:cs="Arial"/>
        </w:rPr>
        <w:t xml:space="preserve">- The final decision on methodology validation and acceptance is made after a careful review of </w:t>
      </w:r>
      <w:r>
        <w:rPr>
          <w:rFonts w:ascii="Arial" w:hAnsi="Arial" w:cs="Arial"/>
          <w:bCs/>
        </w:rPr>
        <w:t>all</w:t>
      </w:r>
      <w:r>
        <w:rPr>
          <w:rFonts w:ascii="Arial" w:hAnsi="Arial" w:cs="Arial"/>
        </w:rPr>
        <w:t xml:space="preserve"> the studies performed as part of the complete method validation process. The Laboratory Director shall make the ultimate decision on method validation. Method acceptance is based on the results from the above studies plus an evaluation of the new method’s cost effectiveness, turn-around-time, laboratory staff training needs, and any other relevant operational considerations.</w:t>
      </w:r>
    </w:p>
    <w:p w:rsidR="00413577" w:rsidP="00413577" w14:paraId="3602D89E" w14:textId="77777777">
      <w:pPr>
        <w:spacing w:line="276" w:lineRule="auto"/>
        <w:ind w:left="360"/>
        <w:rPr>
          <w:rFonts w:ascii="Arial" w:hAnsi="Arial" w:cs="Arial"/>
          <w:b/>
        </w:rPr>
      </w:pPr>
    </w:p>
    <w:tbl>
      <w:tblPr>
        <w:tblStyle w:val="TableGrid"/>
        <w:tblW w:w="0" w:type="auto"/>
        <w:tblInd w:w="360" w:type="dxa"/>
        <w:tblLook w:val="04A0"/>
      </w:tblPr>
      <w:tblGrid>
        <w:gridCol w:w="1975"/>
        <w:gridCol w:w="6379"/>
      </w:tblGrid>
      <w:tr w14:paraId="09FC3A80" w14:textId="77777777" w:rsidTr="00413577">
        <w:tblPrEx>
          <w:tblW w:w="0" w:type="auto"/>
          <w:tblInd w:w="360" w:type="dxa"/>
          <w:tblLook w:val="04A0"/>
        </w:tblPrEx>
        <w:trPr>
          <w:trHeight w:val="576"/>
        </w:trPr>
        <w:tc>
          <w:tcPr>
            <w:tcW w:w="19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13577" w14:paraId="263CEEFB" w14:textId="77777777">
            <w:pPr>
              <w:spacing w:line="276" w:lineRule="auto"/>
              <w:jc w:val="right"/>
              <w:rPr>
                <w:rFonts w:ascii="Arial" w:hAnsi="Arial" w:cs="Arial"/>
                <w:b/>
                <w:sz w:val="22"/>
                <w:szCs w:val="22"/>
              </w:rPr>
            </w:pPr>
            <w:bookmarkStart w:id="8" w:name="_Hlk132619786"/>
            <w:r>
              <w:rPr>
                <w:rFonts w:ascii="Arial" w:hAnsi="Arial" w:cs="Arial"/>
                <w:b/>
                <w:sz w:val="22"/>
                <w:szCs w:val="22"/>
              </w:rPr>
              <w:t>Prepared By:</w:t>
            </w:r>
          </w:p>
        </w:tc>
        <w:tc>
          <w:tcPr>
            <w:tcW w:w="6379" w:type="dxa"/>
            <w:tcBorders>
              <w:top w:val="single" w:sz="4" w:space="0" w:color="000000"/>
              <w:left w:val="single" w:sz="4" w:space="0" w:color="000000"/>
              <w:bottom w:val="single" w:sz="4" w:space="0" w:color="000000"/>
              <w:right w:val="single" w:sz="4" w:space="0" w:color="000000"/>
            </w:tcBorders>
            <w:vAlign w:val="center"/>
          </w:tcPr>
          <w:p w:rsidR="00413577" w14:paraId="0AA8D4E6" w14:textId="77777777">
            <w:pPr>
              <w:spacing w:line="276" w:lineRule="auto"/>
              <w:rPr>
                <w:rFonts w:ascii="Arial" w:hAnsi="Arial" w:cs="Arial"/>
                <w:b/>
                <w:sz w:val="22"/>
                <w:szCs w:val="22"/>
              </w:rPr>
            </w:pPr>
          </w:p>
        </w:tc>
      </w:tr>
      <w:tr w14:paraId="290C55C8" w14:textId="77777777" w:rsidTr="00413577">
        <w:tblPrEx>
          <w:tblW w:w="0" w:type="auto"/>
          <w:tblInd w:w="360" w:type="dxa"/>
          <w:tblLook w:val="04A0"/>
        </w:tblPrEx>
        <w:trPr>
          <w:trHeight w:val="576"/>
        </w:trPr>
        <w:tc>
          <w:tcPr>
            <w:tcW w:w="19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13577" w14:paraId="2C5CE3CB" w14:textId="77777777">
            <w:pPr>
              <w:spacing w:line="276" w:lineRule="auto"/>
              <w:jc w:val="right"/>
              <w:rPr>
                <w:rFonts w:ascii="Arial" w:hAnsi="Arial" w:cs="Arial"/>
                <w:b/>
                <w:sz w:val="22"/>
                <w:szCs w:val="22"/>
              </w:rPr>
            </w:pPr>
            <w:r>
              <w:rPr>
                <w:rFonts w:ascii="Arial" w:hAnsi="Arial" w:cs="Arial"/>
                <w:b/>
                <w:sz w:val="22"/>
                <w:szCs w:val="22"/>
              </w:rPr>
              <w:t>Date:</w:t>
            </w:r>
          </w:p>
        </w:tc>
        <w:tc>
          <w:tcPr>
            <w:tcW w:w="6379" w:type="dxa"/>
            <w:tcBorders>
              <w:top w:val="single" w:sz="4" w:space="0" w:color="000000"/>
              <w:left w:val="single" w:sz="4" w:space="0" w:color="000000"/>
              <w:bottom w:val="single" w:sz="4" w:space="0" w:color="000000"/>
              <w:right w:val="single" w:sz="4" w:space="0" w:color="000000"/>
            </w:tcBorders>
            <w:vAlign w:val="center"/>
          </w:tcPr>
          <w:p w:rsidR="00413577" w14:paraId="029BAB6E" w14:textId="77777777">
            <w:pPr>
              <w:spacing w:line="276" w:lineRule="auto"/>
              <w:rPr>
                <w:rFonts w:ascii="Arial" w:hAnsi="Arial" w:cs="Arial"/>
                <w:b/>
                <w:sz w:val="22"/>
                <w:szCs w:val="22"/>
              </w:rPr>
            </w:pPr>
          </w:p>
        </w:tc>
        <w:bookmarkEnd w:id="8"/>
      </w:tr>
    </w:tbl>
    <w:p w:rsidR="00935962" w:rsidP="0096450D" w14:paraId="19F3F259" w14:textId="77777777">
      <w:pPr>
        <w:rPr>
          <w:rFonts w:ascii="Arial" w:hAnsi="Arial" w:cs="Arial"/>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4" type="#_x0000_t202" style="width:500pt;height:30pt;margin-top:0;margin-left:25pt;mso-position-horizontal-relative:page;mso-position-vertical:bottom;mso-position-vertical-relative:page;position:absolute;z-index:251663360" filled="f" fillcolor="gray" stroked="f">
          <v:path strokeok="f" textboxrect="0,0,21600,21600"/>
          <v:textbox>
            <w:txbxContent>
              <w:p>
                <w:r>
                  <w:rPr>
                    <w:sz w:val="18"/>
                  </w:rPr>
                  <w:t>Approved and current. Effective starting 10-Oct-2023. Last reviewed on 10-Oct-2023.</w:t>
                  <w:cr/>
                  <w:t xml:space="preserve">
VAL 3001 (version 1.0). Verification Plan for New Mycobacteriology Culture Methods.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2" type="#_x0000_t202" style="width:500pt;height:30pt;margin-top:0;margin-left:25pt;mso-position-horizontal-relative:page;mso-position-vertical:bottom;mso-position-vertical-relative:page;position:absolute;z-index:251661312" filled="f" fillcolor="gray" stroked="f">
          <v:path strokeok="f" textboxrect="0,0,21600,21600"/>
          <v:textbox>
            <w:txbxContent>
              <w:p>
                <w:r>
                  <w:rPr>
                    <w:sz w:val="18"/>
                  </w:rPr>
                  <w:t>Approved and current. Effective starting 10-Oct-2023. Last reviewed on 10-Oct-2023.</w:t>
                  <w:cr/>
                  <w:t xml:space="preserve">
VAL 3001 (version 1.0). Verification Plan for New Mycobacteriology Culture Methods.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3" type="#_x0000_t202" style="width:500pt;height:30pt;margin-top:0;margin-left:25pt;mso-position-horizontal-relative:page;mso-position-vertical:bottom;mso-position-vertical-relative:page;position:absolute;z-index:251662336" filled="f" fillcolor="gray" stroked="f">
          <v:path strokeok="f" textboxrect="0,0,21600,21600"/>
          <v:textbox>
            <w:txbxContent>
              <w:p>
                <w:r>
                  <w:rPr>
                    <w:sz w:val="18"/>
                  </w:rPr>
                  <w:t>Approved and current. Effective starting 10-Oct-2023. Last reviewed on 10-Oct-2023.</w:t>
                  <w:cr/>
                  <w:t xml:space="preserve">
VAL 3001 (version 1.0). Verification Plan for New Mycobacteriology Culture Methods.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1" type="#_x0000_t202" style="width:500pt;height:30pt;margin-top:12pt;margin-left:25pt;mso-position-horizontal-relative:page;mso-position-vertical-relative:page;position:absolute;z-index:251660288"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962" w:rsidP="00935962" w14:paraId="42E72495" w14:textId="69DE7C0C">
    <w:pPr>
      <w:pStyle w:val="DocumentName"/>
      <w:pBdr>
        <w:top w:val="none" w:sz="0" w:space="0" w:color="auto"/>
        <w:bottom w:val="none" w:sz="0" w:space="0" w:color="auto"/>
      </w:pBdr>
      <w:tabs>
        <w:tab w:val="left" w:pos="3990"/>
        <w:tab w:val="center" w:pos="4500"/>
      </w:tabs>
      <w:ind w:right="0"/>
      <w:jc w:val="center"/>
      <w:rPr>
        <w:rFonts w:ascii="Arial" w:hAnsi="Arial" w:cs="Arial"/>
        <w:b/>
        <w:color w:val="4472C4"/>
        <w:sz w:val="24"/>
      </w:rPr>
    </w:pPr>
    <w:r>
      <w:rPr>
        <w:rFonts w:ascii="Arial" w:hAnsi="Arial" w:cs="Arial"/>
        <w:b/>
        <w:color w:val="4472C4"/>
        <w:sz w:val="24"/>
      </w:rPr>
      <w:t>(Insert Laboratory Header Here)</w:t>
    </w:r>
    <w:r>
      <w:pict>
        <v:shapetype id="_x0000_t202" coordsize="21600,21600" o:spt="202" path="m,l,21600r21600,l21600,xe">
          <v:stroke joinstyle="miter"/>
          <v:path gradientshapeok="t" o:connecttype="rect"/>
        </v:shapetype>
        <v:shape id="_x0000_s2049" type="#_x0000_t202" style="width:500pt;height:30pt;margin-top:12pt;margin-left:25pt;mso-position-horizontal-relative:page;mso-position-vertical-relative:page;position:absolute;z-index:251658240"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p w:rsidR="00935962" w:rsidP="00935962" w14:paraId="38733D79" w14:textId="77777777">
    <w:pPr>
      <w:pStyle w:val="DocumentName"/>
      <w:pBdr>
        <w:top w:val="none" w:sz="0" w:space="0" w:color="auto"/>
        <w:bottom w:val="none" w:sz="0" w:space="0" w:color="auto"/>
      </w:pBdr>
      <w:tabs>
        <w:tab w:val="left" w:pos="3990"/>
        <w:tab w:val="center" w:pos="4500"/>
      </w:tabs>
      <w:ind w:right="0"/>
      <w:jc w:val="center"/>
      <w:rPr>
        <w:rFonts w:ascii="Arial" w:hAnsi="Arial" w:cs="Arial"/>
        <w:color w:val="4472C4"/>
        <w:sz w:val="18"/>
        <w:szCs w:val="18"/>
      </w:rPr>
    </w:pPr>
    <w:r>
      <w:rPr>
        <w:rFonts w:ascii="Arial" w:hAnsi="Arial" w:cs="Arial"/>
        <w:color w:val="4472C4"/>
        <w:sz w:val="18"/>
        <w:szCs w:val="18"/>
      </w:rPr>
      <w:t>(Include full laboratory name and address)</w:t>
    </w:r>
  </w:p>
  <w:p w:rsidR="00935962" w14:paraId="33A087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0" type="#_x0000_t202" style="width:500pt;height:30pt;margin-top:12pt;margin-left:25pt;mso-position-horizontal-relative:page;mso-position-vertical-relative:page;position:absolute;z-index:251659264"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208EE"/>
    <w:multiLevelType w:val="hybridMultilevel"/>
    <w:tmpl w:val="26749136"/>
    <w:lvl w:ilvl="0">
      <w:start w:val="1"/>
      <w:numFmt w:val="decimal"/>
      <w:lvlText w:val="%1."/>
      <w:lvlJc w:val="left"/>
      <w:pPr>
        <w:ind w:left="360" w:hanging="360"/>
      </w:pPr>
      <w:rPr>
        <w:b/>
        <w:bCs w:val="0"/>
      </w:rPr>
    </w:lvl>
    <w:lvl w:ilvl="1">
      <w:start w:val="1"/>
      <w:numFmt w:val="lowerLetter"/>
      <w:lvlText w:val="%2."/>
      <w:lvlJc w:val="left"/>
      <w:pPr>
        <w:ind w:left="108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821DC7"/>
    <w:multiLevelType w:val="hybridMultilevel"/>
    <w:tmpl w:val="A9409278"/>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nsid w:val="17B9448F"/>
    <w:multiLevelType w:val="hybridMultilevel"/>
    <w:tmpl w:val="B950D9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35004D6"/>
    <w:multiLevelType w:val="hybridMultilevel"/>
    <w:tmpl w:val="65700308"/>
    <w:lvl w:ilvl="0">
      <w:start w:val="1"/>
      <w:numFmt w:val="lowerLetter"/>
      <w:lvlText w:val="%1."/>
      <w:lvlJc w:val="left"/>
      <w:pPr>
        <w:ind w:left="1080" w:hanging="360"/>
      </w:pPr>
      <w:rPr>
        <w:color w:val="auto"/>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5383142"/>
    <w:multiLevelType w:val="hybridMultilevel"/>
    <w:tmpl w:val="B63486A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163469"/>
    <w:multiLevelType w:val="hybridMultilevel"/>
    <w:tmpl w:val="94FE6366"/>
    <w:lvl w:ilvl="0">
      <w:start w:val="1"/>
      <w:numFmt w:val="lowerLetter"/>
      <w:lvlText w:val="%1."/>
      <w:lvlJc w:val="left"/>
      <w:pPr>
        <w:ind w:left="1080" w:hanging="360"/>
      </w:pPr>
      <w:rPr>
        <w:b w:val="0"/>
        <w:i w:val="0"/>
        <w:sz w:val="22"/>
        <w:szCs w:val="24"/>
      </w:rPr>
    </w:lvl>
    <w:lvl w:ilvl="1">
      <w:start w:val="1"/>
      <w:numFmt w:val="lowerLetter"/>
      <w:lvlText w:val="%2."/>
      <w:lvlJc w:val="left"/>
      <w:pPr>
        <w:ind w:left="1800" w:hanging="360"/>
      </w:pPr>
      <w:rPr>
        <w:b w:val="0"/>
        <w:i w:val="0"/>
        <w:color w:val="auto"/>
      </w:rPr>
    </w:lvl>
    <w:lvl w:ilvl="2">
      <w:start w:val="1"/>
      <w:numFmt w:val="lowerRoman"/>
      <w:lvlText w:val="%3."/>
      <w:lvlJc w:val="right"/>
      <w:pPr>
        <w:ind w:left="2520" w:hanging="180"/>
      </w:pPr>
      <w:rPr>
        <w:b w:val="0"/>
        <w:i w:val="0"/>
        <w:color w:val="auto"/>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C5E1759"/>
    <w:multiLevelType w:val="hybridMultilevel"/>
    <w:tmpl w:val="7D00FE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0D"/>
    <w:rsid w:val="00210100"/>
    <w:rsid w:val="00264E37"/>
    <w:rsid w:val="00413577"/>
    <w:rsid w:val="0046303A"/>
    <w:rsid w:val="00497164"/>
    <w:rsid w:val="00596E5A"/>
    <w:rsid w:val="005A557E"/>
    <w:rsid w:val="005A60F3"/>
    <w:rsid w:val="00833820"/>
    <w:rsid w:val="00835574"/>
    <w:rsid w:val="008C2DB5"/>
    <w:rsid w:val="00935962"/>
    <w:rsid w:val="0096450D"/>
    <w:rsid w:val="00A4418A"/>
    <w:rsid w:val="00AA3987"/>
    <w:rsid w:val="00AC1539"/>
    <w:rsid w:val="00AE6F52"/>
    <w:rsid w:val="00C66E9B"/>
    <w:rsid w:val="00DE6D69"/>
    <w:rsid w:val="00ED3DC9"/>
    <w:rsid w:val="00F73EE7"/>
    <w:rsid w:val="00FA23D5"/>
    <w:rsid w:val="00FF20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6A5C91A-ED6D-4F1D-B126-A4276D2B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4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50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D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C9"/>
  </w:style>
  <w:style w:type="paragraph" w:styleId="Footer">
    <w:name w:val="footer"/>
    <w:basedOn w:val="Normal"/>
    <w:link w:val="FooterChar"/>
    <w:uiPriority w:val="99"/>
    <w:unhideWhenUsed/>
    <w:rsid w:val="00ED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C9"/>
  </w:style>
  <w:style w:type="paragraph" w:styleId="ListParagraph">
    <w:name w:val="List Paragraph"/>
    <w:basedOn w:val="Normal"/>
    <w:uiPriority w:val="34"/>
    <w:qFormat/>
    <w:rsid w:val="00ED3DC9"/>
    <w:pPr>
      <w:ind w:left="720"/>
      <w:contextualSpacing/>
    </w:pPr>
  </w:style>
  <w:style w:type="paragraph" w:styleId="NoSpacing">
    <w:name w:val="No Spacing"/>
    <w:uiPriority w:val="1"/>
    <w:qFormat/>
    <w:rsid w:val="00935962"/>
    <w:pPr>
      <w:spacing w:after="0" w:line="240" w:lineRule="auto"/>
    </w:pPr>
    <w:rPr>
      <w:rFonts w:ascii="Calibri" w:eastAsia="Calibri" w:hAnsi="Calibri" w:cs="Times New Roman"/>
    </w:rPr>
  </w:style>
  <w:style w:type="paragraph" w:customStyle="1" w:styleId="DocumentName">
    <w:name w:val="DocumentName"/>
    <w:rsid w:val="00935962"/>
    <w:pPr>
      <w:pBdr>
        <w:top w:val="single" w:sz="2" w:space="1" w:color="auto"/>
        <w:bottom w:val="single" w:sz="2" w:space="1" w:color="auto"/>
      </w:pBdr>
      <w:spacing w:after="0" w:line="240" w:lineRule="auto"/>
      <w:ind w:right="806"/>
    </w:pPr>
    <w:rPr>
      <w:rFonts w:ascii="Helvetica" w:eastAsia="Times New Roman" w:hAnsi="Helvetica" w:cs="Times New Roman"/>
      <w:sz w:val="28"/>
      <w:szCs w:val="20"/>
    </w:rPr>
  </w:style>
  <w:style w:type="table" w:styleId="TableGrid">
    <w:name w:val="Table Grid"/>
    <w:basedOn w:val="TableNormal"/>
    <w:uiPriority w:val="59"/>
    <w:rsid w:val="0041357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3917</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Schwartz</dc:creator>
  <cp:lastModifiedBy>Anne Leach</cp:lastModifiedBy>
  <cp:revision>9</cp:revision>
  <dcterms:created xsi:type="dcterms:W3CDTF">2023-09-18T17:30:00Z</dcterms:created>
  <dcterms:modified xsi:type="dcterms:W3CDTF">2023-10-10T16:40:00Z</dcterms:modified>
</cp:coreProperties>
</file>